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4250335"/>
        <w:docPartObj>
          <w:docPartGallery w:val="Cover Pages"/>
          <w:docPartUnique/>
        </w:docPartObj>
      </w:sdtPr>
      <w:sdtEndPr/>
      <w:sdtContent>
        <w:p w:rsidR="007C0035" w:rsidRDefault="001E420F">
          <w:pPr>
            <w:suppressAutoHyphens w:val="0"/>
            <w:spacing w:after="200" w:line="276" w:lineRule="auto"/>
          </w:pPr>
          <w:r>
            <w:rPr>
              <w:noProof/>
              <w:lang w:eastAsia="cs-CZ"/>
            </w:rPr>
            <mc:AlternateContent>
              <mc:Choice Requires="wps">
                <w:drawing>
                  <wp:anchor distT="0" distB="0" distL="114300" distR="114300" simplePos="0" relativeHeight="251659264" behindDoc="0" locked="0" layoutInCell="1" allowOverlap="1" wp14:anchorId="582650CF" wp14:editId="50F6F987">
                    <wp:simplePos x="0" y="0"/>
                    <wp:positionH relativeFrom="page">
                      <wp:posOffset>439615</wp:posOffset>
                    </wp:positionH>
                    <wp:positionV relativeFrom="page">
                      <wp:posOffset>1907931</wp:posOffset>
                    </wp:positionV>
                    <wp:extent cx="6879248" cy="7569200"/>
                    <wp:effectExtent l="0" t="0" r="0" b="0"/>
                    <wp:wrapNone/>
                    <wp:docPr id="138" name="Textové pole 138"/>
                    <wp:cNvGraphicFramePr/>
                    <a:graphic xmlns:a="http://schemas.openxmlformats.org/drawingml/2006/main">
                      <a:graphicData uri="http://schemas.microsoft.com/office/word/2010/wordprocessingShape">
                        <wps:wsp>
                          <wps:cNvSpPr txBox="1"/>
                          <wps:spPr>
                            <a:xfrm>
                              <a:off x="0" y="0"/>
                              <a:ext cx="6879248" cy="756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936"/>
                                  <w:gridCol w:w="5622"/>
                                </w:tblGrid>
                                <w:tr w:rsidR="007C0035" w:rsidTr="00D60CA4">
                                  <w:trPr>
                                    <w:trHeight w:val="4031"/>
                                    <w:jc w:val="center"/>
                                  </w:trPr>
                                  <w:tc>
                                    <w:tcPr>
                                      <w:tcW w:w="2568" w:type="pct"/>
                                      <w:vAlign w:val="center"/>
                                    </w:tcPr>
                                    <w:p w:rsidR="007C0035" w:rsidRDefault="007C0035">
                                      <w:pPr>
                                        <w:jc w:val="right"/>
                                      </w:pPr>
                                    </w:p>
                                    <w:sdt>
                                      <w:sdtPr>
                                        <w:rPr>
                                          <w:caps/>
                                          <w:color w:val="191919" w:themeColor="text1" w:themeTint="E6"/>
                                          <w:sz w:val="70"/>
                                          <w:szCs w:val="70"/>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7C0035" w:rsidRPr="001E420F" w:rsidRDefault="00D603B2" w:rsidP="001E420F">
                                          <w:pPr>
                                            <w:pStyle w:val="Bezmezer"/>
                                            <w:spacing w:line="312" w:lineRule="auto"/>
                                            <w:jc w:val="center"/>
                                            <w:rPr>
                                              <w:caps/>
                                              <w:color w:val="191919" w:themeColor="text1" w:themeTint="E6"/>
                                              <w:sz w:val="72"/>
                                              <w:szCs w:val="72"/>
                                            </w:rPr>
                                          </w:pPr>
                                          <w:r w:rsidRPr="001E420F">
                                            <w:rPr>
                                              <w:caps/>
                                              <w:color w:val="191919" w:themeColor="text1" w:themeTint="E6"/>
                                              <w:sz w:val="70"/>
                                              <w:szCs w:val="70"/>
                                            </w:rPr>
                                            <w:t xml:space="preserve">JEDNACÍ ŘÁD  </w:t>
                                          </w:r>
                                          <w:r w:rsidR="007C0035" w:rsidRPr="001E420F">
                                            <w:rPr>
                                              <w:caps/>
                                              <w:color w:val="191919" w:themeColor="text1" w:themeTint="E6"/>
                                              <w:sz w:val="70"/>
                                              <w:szCs w:val="70"/>
                                            </w:rPr>
                                            <w:t>řídícího výboru</w:t>
                                          </w:r>
                                        </w:p>
                                      </w:sdtContent>
                                    </w:sdt>
                                    <w:p w:rsidR="007C0035" w:rsidRPr="001E420F" w:rsidRDefault="00D60CA4" w:rsidP="001E420F">
                                      <w:pPr>
                                        <w:jc w:val="center"/>
                                        <w:rPr>
                                          <w:rFonts w:asciiTheme="minorHAnsi" w:hAnsiTheme="minorHAnsi"/>
                                          <w:b/>
                                          <w:color w:val="000000" w:themeColor="text1"/>
                                          <w:sz w:val="28"/>
                                          <w:szCs w:val="28"/>
                                        </w:rPr>
                                      </w:pPr>
                                      <w:r w:rsidRPr="001E420F">
                                        <w:rPr>
                                          <w:rFonts w:asciiTheme="minorHAnsi" w:hAnsiTheme="minorHAnsi"/>
                                          <w:b/>
                                          <w:color w:val="000000" w:themeColor="text1"/>
                                          <w:sz w:val="28"/>
                                          <w:szCs w:val="28"/>
                                        </w:rPr>
                                        <w:t>Místní akční plán rozvoje vzdělávání ORP Český Těšín</w:t>
                                      </w:r>
                                    </w:p>
                                    <w:p w:rsidR="00995F8D" w:rsidRPr="00D60CA4" w:rsidRDefault="00D60CA4" w:rsidP="001E420F">
                                      <w:pPr>
                                        <w:jc w:val="center"/>
                                      </w:pPr>
                                      <w:proofErr w:type="spellStart"/>
                                      <w:r w:rsidRPr="001E420F">
                                        <w:rPr>
                                          <w:rFonts w:asciiTheme="minorHAnsi" w:hAnsiTheme="minorHAnsi"/>
                                          <w:b/>
                                          <w:color w:val="000000" w:themeColor="text1"/>
                                          <w:sz w:val="28"/>
                                          <w:szCs w:val="28"/>
                                        </w:rPr>
                                        <w:t>reg</w:t>
                                      </w:r>
                                      <w:proofErr w:type="spellEnd"/>
                                      <w:r w:rsidRPr="001E420F">
                                        <w:rPr>
                                          <w:rFonts w:asciiTheme="minorHAnsi" w:hAnsiTheme="minorHAnsi"/>
                                          <w:b/>
                                          <w:color w:val="000000" w:themeColor="text1"/>
                                          <w:sz w:val="28"/>
                                          <w:szCs w:val="28"/>
                                        </w:rPr>
                                        <w:t>. č. CZ.02.3.68/0.0/0.0/15_005/0000146</w:t>
                                      </w:r>
                                    </w:p>
                                  </w:tc>
                                  <w:tc>
                                    <w:tcPr>
                                      <w:tcW w:w="2432" w:type="pct"/>
                                      <w:vAlign w:val="center"/>
                                    </w:tcPr>
                                    <w:p w:rsidR="007C0035" w:rsidRDefault="00F5207E">
                                      <w:pPr>
                                        <w:pStyle w:val="Bezmezer"/>
                                      </w:pPr>
                                      <w:r>
                                        <w:rPr>
                                          <w:noProof/>
                                        </w:rPr>
                                        <w:drawing>
                                          <wp:inline distT="0" distB="0" distL="0" distR="0" wp14:anchorId="7F261974" wp14:editId="73AB6BCD">
                                            <wp:extent cx="2418080" cy="2329815"/>
                                            <wp:effectExtent l="19050" t="19050" r="20320" b="133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2329815"/>
                                                    </a:xfrm>
                                                    <a:prstGeom prst="rect">
                                                      <a:avLst/>
                                                    </a:prstGeom>
                                                    <a:noFill/>
                                                    <a:ln w="19050" cmpd="sng">
                                                      <a:solidFill>
                                                        <a:schemeClr val="tx1"/>
                                                      </a:solidFill>
                                                    </a:ln>
                                                  </pic:spPr>
                                                </pic:pic>
                                              </a:graphicData>
                                            </a:graphic>
                                          </wp:inline>
                                        </w:drawing>
                                      </w:r>
                                    </w:p>
                                  </w:tc>
                                </w:tr>
                              </w:tbl>
                              <w:p w:rsidR="007C0035" w:rsidRDefault="007C003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38" o:spid="_x0000_s1026" type="#_x0000_t202" style="position:absolute;margin-left:34.6pt;margin-top:150.25pt;width:541.65pt;height:5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QnjAIAAIYFAAAOAAAAZHJzL2Uyb0RvYy54bWysVNtOGzEQfa/Uf7D8XjZAuUVsUAqiqoQA&#10;FSqeHa9NVvV6XNtJNv0jvqM/1mPvbkIpL1R92R17zsx4zlxOz9rGsKXyoSZb8t2dEWfKSqpq+1jy&#10;b/eXH445C1HYShiyquRrFfjZ5P2705Ubqz2ak6mUZ3Biw3jlSj6P0Y2LIsi5akTYIacslJp8IyKO&#10;/rGovFjBe2OKvdHosFiRr5wnqULA7UWn5JPsX2sl443WQUVmSo63xfz1+TtL32JyKsaPXrh5Lftn&#10;iH94RSNqi6AbVxciCrbw9V+umlp6CqTjjqSmIK1rqXIOyGZ39CKbu7lwKucCcoLb0BT+n1t5vbz1&#10;rK5Qu32UyooGRbpXbaTlryfmyCiWFKBp5cIY6DsHfGw/UQuT4T7gMmXfat+kP/Ji0IPw9YZk+GQS&#10;l4fHRyd7HxFLQnd0cHiCMiY/xdbc+RA/K2pYEkruUcVMrlhehdhBB0iKFsjU1WVtTD6kzlHnxrOl&#10;QM1NzI+E8z9QxrIVnrJ/MMqOLSXzzrOxyY3KvdOHS6l3KWYpro1KGGO/Kg3ucqavxBZSKruJn9EJ&#10;pRHqLYY9fvuqtxh3ecAiRyYbN8ZNbcnn7POwbSmrvg+U6Q6P2jzLO4mxnbV9S8yoWqMjPHWjFZy8&#10;rFG1KxHirfCYJTQB9kO8wUcbAuvUS5zNyf987T7h0eLQcrbCbJY8/FgIrzgzXyyaPw3yIPhBmA2C&#10;XTTnhNLvYvM4mUUY+GgGUXtqHrA2pikKVMJKxCq5jH44nMduR2DxSDWdZhgG1ol4Ze+cTM4ToakL&#10;79sH4V3fqhFdfk3D3Irxi47tsMnS0nQRSde5nROlHY891Rj2PBD9Ykrb5Pk5o7brc/IbAAD//wMA&#10;UEsDBBQABgAIAAAAIQDKTjtu3wAAAAwBAAAPAAAAZHJzL2Rvd25yZXYueG1sTI/BTsMwDIbvSLxD&#10;ZCRuLG3ZJlaaThPSLtwYMMQta0xTrXGqJOu6t8c7we2z/Ov352o9uV6MGGLnSUE+y0AgNd501Cr4&#10;eN8+PIGISZPRvSdUcMEI6/r2ptKl8Wd6w3GXWsElFEutwKY0lFLGxqLTceYHJN79+OB04jG00gR9&#10;5nLXyyLLltLpjviC1QO+WGyOu5NTkMawn283UzCXvX3VR5d/fXefSt3fTZtnEAmn9BeGqz6rQ81O&#10;B38iE0WvYLkqOKngMcsWIK6BfFEwHZjmKyZZV/L/E/UvAAAA//8DAFBLAQItABQABgAIAAAAIQC2&#10;gziS/gAAAOEBAAATAAAAAAAAAAAAAAAAAAAAAABbQ29udGVudF9UeXBlc10ueG1sUEsBAi0AFAAG&#10;AAgAAAAhADj9If/WAAAAlAEAAAsAAAAAAAAAAAAAAAAALwEAAF9yZWxzLy5yZWxzUEsBAi0AFAAG&#10;AAgAAAAhABxw5CeMAgAAhgUAAA4AAAAAAAAAAAAAAAAALgIAAGRycy9lMm9Eb2MueG1sUEsBAi0A&#10;FAAGAAgAAAAhAMpOO27fAAAADAEAAA8AAAAAAAAAAAAAAAAA5gQAAGRycy9kb3ducmV2LnhtbFBL&#10;BQYAAAAABAAEAPMAAADy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936"/>
                            <w:gridCol w:w="5622"/>
                          </w:tblGrid>
                          <w:tr w:rsidR="007C0035" w:rsidTr="00D60CA4">
                            <w:trPr>
                              <w:trHeight w:val="4031"/>
                              <w:jc w:val="center"/>
                            </w:trPr>
                            <w:tc>
                              <w:tcPr>
                                <w:tcW w:w="2568" w:type="pct"/>
                                <w:vAlign w:val="center"/>
                              </w:tcPr>
                              <w:p w:rsidR="007C0035" w:rsidRDefault="007C0035">
                                <w:pPr>
                                  <w:jc w:val="right"/>
                                </w:pPr>
                              </w:p>
                              <w:sdt>
                                <w:sdtPr>
                                  <w:rPr>
                                    <w:caps/>
                                    <w:color w:val="191919" w:themeColor="text1" w:themeTint="E6"/>
                                    <w:sz w:val="70"/>
                                    <w:szCs w:val="70"/>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7C0035" w:rsidRPr="001E420F" w:rsidRDefault="00D603B2" w:rsidP="001E420F">
                                    <w:pPr>
                                      <w:pStyle w:val="Bezmezer"/>
                                      <w:spacing w:line="312" w:lineRule="auto"/>
                                      <w:jc w:val="center"/>
                                      <w:rPr>
                                        <w:caps/>
                                        <w:color w:val="191919" w:themeColor="text1" w:themeTint="E6"/>
                                        <w:sz w:val="72"/>
                                        <w:szCs w:val="72"/>
                                      </w:rPr>
                                    </w:pPr>
                                    <w:r w:rsidRPr="001E420F">
                                      <w:rPr>
                                        <w:caps/>
                                        <w:color w:val="191919" w:themeColor="text1" w:themeTint="E6"/>
                                        <w:sz w:val="70"/>
                                        <w:szCs w:val="70"/>
                                      </w:rPr>
                                      <w:t xml:space="preserve">JEDNACÍ ŘÁD  </w:t>
                                    </w:r>
                                    <w:r w:rsidR="007C0035" w:rsidRPr="001E420F">
                                      <w:rPr>
                                        <w:caps/>
                                        <w:color w:val="191919" w:themeColor="text1" w:themeTint="E6"/>
                                        <w:sz w:val="70"/>
                                        <w:szCs w:val="70"/>
                                      </w:rPr>
                                      <w:t>řídícího výboru</w:t>
                                    </w:r>
                                  </w:p>
                                </w:sdtContent>
                              </w:sdt>
                              <w:p w:rsidR="007C0035" w:rsidRPr="001E420F" w:rsidRDefault="00D60CA4" w:rsidP="001E420F">
                                <w:pPr>
                                  <w:jc w:val="center"/>
                                  <w:rPr>
                                    <w:rFonts w:asciiTheme="minorHAnsi" w:hAnsiTheme="minorHAnsi"/>
                                    <w:b/>
                                    <w:color w:val="000000" w:themeColor="text1"/>
                                    <w:sz w:val="28"/>
                                    <w:szCs w:val="28"/>
                                  </w:rPr>
                                </w:pPr>
                                <w:r w:rsidRPr="001E420F">
                                  <w:rPr>
                                    <w:rFonts w:asciiTheme="minorHAnsi" w:hAnsiTheme="minorHAnsi"/>
                                    <w:b/>
                                    <w:color w:val="000000" w:themeColor="text1"/>
                                    <w:sz w:val="28"/>
                                    <w:szCs w:val="28"/>
                                  </w:rPr>
                                  <w:t>Místní akční plán rozvoje vzdělávání ORP Český Těšín</w:t>
                                </w:r>
                              </w:p>
                              <w:p w:rsidR="00995F8D" w:rsidRPr="00D60CA4" w:rsidRDefault="00D60CA4" w:rsidP="001E420F">
                                <w:pPr>
                                  <w:jc w:val="center"/>
                                </w:pPr>
                                <w:proofErr w:type="spellStart"/>
                                <w:r w:rsidRPr="001E420F">
                                  <w:rPr>
                                    <w:rFonts w:asciiTheme="minorHAnsi" w:hAnsiTheme="minorHAnsi"/>
                                    <w:b/>
                                    <w:color w:val="000000" w:themeColor="text1"/>
                                    <w:sz w:val="28"/>
                                    <w:szCs w:val="28"/>
                                  </w:rPr>
                                  <w:t>reg</w:t>
                                </w:r>
                                <w:proofErr w:type="spellEnd"/>
                                <w:r w:rsidRPr="001E420F">
                                  <w:rPr>
                                    <w:rFonts w:asciiTheme="minorHAnsi" w:hAnsiTheme="minorHAnsi"/>
                                    <w:b/>
                                    <w:color w:val="000000" w:themeColor="text1"/>
                                    <w:sz w:val="28"/>
                                    <w:szCs w:val="28"/>
                                  </w:rPr>
                                  <w:t>. č. CZ.02.3.68/0.0/0.0/15_005/0000146</w:t>
                                </w:r>
                              </w:p>
                            </w:tc>
                            <w:tc>
                              <w:tcPr>
                                <w:tcW w:w="2432" w:type="pct"/>
                                <w:vAlign w:val="center"/>
                              </w:tcPr>
                              <w:p w:rsidR="007C0035" w:rsidRDefault="00F5207E">
                                <w:pPr>
                                  <w:pStyle w:val="Bezmezer"/>
                                </w:pPr>
                                <w:r>
                                  <w:rPr>
                                    <w:noProof/>
                                  </w:rPr>
                                  <w:drawing>
                                    <wp:inline distT="0" distB="0" distL="0" distR="0" wp14:anchorId="7F261974" wp14:editId="73AB6BCD">
                                      <wp:extent cx="2418080" cy="2329815"/>
                                      <wp:effectExtent l="19050" t="19050" r="20320" b="133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2329815"/>
                                              </a:xfrm>
                                              <a:prstGeom prst="rect">
                                                <a:avLst/>
                                              </a:prstGeom>
                                              <a:noFill/>
                                              <a:ln w="19050" cmpd="sng">
                                                <a:solidFill>
                                                  <a:schemeClr val="tx1"/>
                                                </a:solidFill>
                                              </a:ln>
                                            </pic:spPr>
                                          </pic:pic>
                                        </a:graphicData>
                                      </a:graphic>
                                    </wp:inline>
                                  </w:drawing>
                                </w:r>
                              </w:p>
                            </w:tc>
                          </w:tr>
                        </w:tbl>
                        <w:p w:rsidR="007C0035" w:rsidRDefault="007C0035"/>
                      </w:txbxContent>
                    </v:textbox>
                    <w10:wrap anchorx="page" anchory="page"/>
                  </v:shape>
                </w:pict>
              </mc:Fallback>
            </mc:AlternateContent>
          </w:r>
          <w:r>
            <w:rPr>
              <w:noProof/>
              <w:lang w:eastAsia="cs-CZ"/>
            </w:rPr>
            <w:drawing>
              <wp:anchor distT="0" distB="0" distL="114300" distR="114300" simplePos="0" relativeHeight="251660288" behindDoc="0" locked="0" layoutInCell="1" allowOverlap="1" wp14:anchorId="2AE065C1" wp14:editId="7DAC5ADA">
                <wp:simplePos x="895350" y="800100"/>
                <wp:positionH relativeFrom="margin">
                  <wp:align>center</wp:align>
                </wp:positionH>
                <wp:positionV relativeFrom="margin">
                  <wp:align>top</wp:align>
                </wp:positionV>
                <wp:extent cx="5437505" cy="1212850"/>
                <wp:effectExtent l="0" t="0" r="0" b="635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MSMT_VVV_hor_barva_cz.jpg"/>
                        <pic:cNvPicPr/>
                      </pic:nvPicPr>
                      <pic:blipFill>
                        <a:blip r:embed="rId10">
                          <a:extLst>
                            <a:ext uri="{28A0092B-C50C-407E-A947-70E740481C1C}">
                              <a14:useLocalDpi xmlns:a14="http://schemas.microsoft.com/office/drawing/2010/main" val="0"/>
                            </a:ext>
                          </a:extLst>
                        </a:blip>
                        <a:stretch>
                          <a:fillRect/>
                        </a:stretch>
                      </pic:blipFill>
                      <pic:spPr>
                        <a:xfrm>
                          <a:off x="0" y="0"/>
                          <a:ext cx="5441015" cy="1214111"/>
                        </a:xfrm>
                        <a:prstGeom prst="rect">
                          <a:avLst/>
                        </a:prstGeom>
                      </pic:spPr>
                    </pic:pic>
                  </a:graphicData>
                </a:graphic>
                <wp14:sizeRelH relativeFrom="margin">
                  <wp14:pctWidth>0</wp14:pctWidth>
                </wp14:sizeRelH>
                <wp14:sizeRelV relativeFrom="margin">
                  <wp14:pctHeight>0</wp14:pctHeight>
                </wp14:sizeRelV>
              </wp:anchor>
            </w:drawing>
          </w:r>
          <w:r w:rsidR="007C0035">
            <w:br w:type="page"/>
          </w:r>
        </w:p>
      </w:sdtContent>
    </w:sdt>
    <w:p w:rsidR="007C0035" w:rsidRDefault="007C0035"/>
    <w:p w:rsidR="00E74B0B" w:rsidRPr="00A17916" w:rsidRDefault="00332ADB" w:rsidP="00D60CA4">
      <w:pPr>
        <w:spacing w:line="276" w:lineRule="auto"/>
        <w:jc w:val="center"/>
        <w:rPr>
          <w:b/>
          <w:sz w:val="32"/>
        </w:rPr>
      </w:pPr>
      <w:r>
        <w:rPr>
          <w:b/>
          <w:sz w:val="32"/>
        </w:rPr>
        <w:t>m</w:t>
      </w:r>
      <w:r w:rsidR="00D60CA4">
        <w:rPr>
          <w:b/>
          <w:sz w:val="32"/>
        </w:rPr>
        <w:t>ěsto Český Těšín</w:t>
      </w:r>
    </w:p>
    <w:p w:rsidR="00B73F94" w:rsidRDefault="00B73F94" w:rsidP="00A17916">
      <w:pPr>
        <w:spacing w:line="276" w:lineRule="auto"/>
        <w:jc w:val="center"/>
        <w:rPr>
          <w:b/>
          <w:sz w:val="32"/>
        </w:rPr>
      </w:pPr>
    </w:p>
    <w:p w:rsidR="00A17916" w:rsidRPr="00A17916" w:rsidRDefault="00A17916" w:rsidP="00A17916">
      <w:pPr>
        <w:spacing w:line="276" w:lineRule="auto"/>
        <w:jc w:val="center"/>
        <w:rPr>
          <w:b/>
          <w:sz w:val="32"/>
        </w:rPr>
      </w:pPr>
    </w:p>
    <w:p w:rsidR="00D603B2" w:rsidRPr="00D603B2" w:rsidRDefault="00D603B2" w:rsidP="00D603B2">
      <w:pPr>
        <w:spacing w:line="276" w:lineRule="auto"/>
        <w:jc w:val="center"/>
        <w:rPr>
          <w:rFonts w:ascii="Times New Roman CE" w:hAnsi="Times New Roman CE" w:cs="Arial"/>
          <w:b/>
          <w:sz w:val="36"/>
        </w:rPr>
      </w:pPr>
      <w:r w:rsidRPr="00D603B2">
        <w:rPr>
          <w:rFonts w:ascii="Times New Roman CE" w:hAnsi="Times New Roman CE" w:cs="Arial"/>
          <w:b/>
          <w:sz w:val="36"/>
        </w:rPr>
        <w:t>J E D N A C Í  Ř Á D</w:t>
      </w:r>
    </w:p>
    <w:p w:rsidR="00D603B2" w:rsidRDefault="00D603B2" w:rsidP="00D603B2">
      <w:pPr>
        <w:spacing w:line="276" w:lineRule="auto"/>
        <w:jc w:val="center"/>
        <w:rPr>
          <w:rFonts w:ascii="Times New Roman CE" w:hAnsi="Times New Roman CE" w:cs="Arial"/>
          <w:b/>
        </w:rPr>
      </w:pPr>
    </w:p>
    <w:p w:rsidR="00D603B2" w:rsidRP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Řídícího výboru projektu</w:t>
      </w:r>
      <w:r w:rsidRPr="00D603B2">
        <w:rPr>
          <w:rFonts w:ascii="Times New Roman CE" w:hAnsi="Times New Roman CE" w:cs="Arial"/>
          <w:b/>
        </w:rPr>
        <w:br/>
      </w:r>
      <w:r w:rsidRPr="00D60CA4">
        <w:rPr>
          <w:rFonts w:ascii="Times New Roman CE" w:hAnsi="Times New Roman CE" w:cs="Arial"/>
          <w:b/>
        </w:rPr>
        <w:t xml:space="preserve">Místní akční plán rozvoje vzdělávání </w:t>
      </w:r>
      <w:r w:rsidR="00D60CA4" w:rsidRPr="00D60CA4">
        <w:rPr>
          <w:rFonts w:ascii="Times New Roman CE" w:hAnsi="Times New Roman CE" w:cs="Arial"/>
          <w:b/>
        </w:rPr>
        <w:t>ORP</w:t>
      </w:r>
      <w:r w:rsidR="00D60CA4">
        <w:rPr>
          <w:rFonts w:ascii="Times New Roman CE" w:hAnsi="Times New Roman CE" w:cs="Arial"/>
          <w:b/>
        </w:rPr>
        <w:t xml:space="preserve"> Český Těšín</w:t>
      </w:r>
    </w:p>
    <w:p w:rsidR="00D603B2" w:rsidRDefault="00D603B2" w:rsidP="00D603B2">
      <w:pPr>
        <w:spacing w:line="276" w:lineRule="auto"/>
        <w:jc w:val="both"/>
        <w:rPr>
          <w:rFonts w:ascii="Times New Roman CE" w:hAnsi="Times New Roman CE" w:cs="Arial"/>
          <w:b/>
        </w:rPr>
      </w:pPr>
    </w:p>
    <w:p w:rsidR="00D603B2" w:rsidRDefault="00D603B2" w:rsidP="00D603B2">
      <w:pPr>
        <w:spacing w:line="276" w:lineRule="auto"/>
        <w:jc w:val="both"/>
        <w:rPr>
          <w:rFonts w:ascii="Times New Roman CE" w:hAnsi="Times New Roman CE" w:cs="Arial"/>
          <w:b/>
        </w:rPr>
      </w:pPr>
    </w:p>
    <w:p w:rsidR="00D603B2" w:rsidRP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Čl. 1</w:t>
      </w:r>
    </w:p>
    <w:p w:rsid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Obecná ustanovení</w:t>
      </w:r>
    </w:p>
    <w:p w:rsidR="00D603B2" w:rsidRPr="00D603B2" w:rsidRDefault="00D603B2" w:rsidP="00D603B2">
      <w:pPr>
        <w:spacing w:line="276" w:lineRule="auto"/>
        <w:jc w:val="center"/>
        <w:rPr>
          <w:rFonts w:ascii="Times New Roman CE" w:hAnsi="Times New Roman CE" w:cs="Arial"/>
          <w:b/>
        </w:rPr>
      </w:pPr>
    </w:p>
    <w:p w:rsidR="00D603B2" w:rsidRDefault="00D603B2" w:rsidP="00826F9C">
      <w:pPr>
        <w:pStyle w:val="Odstavecseseznamem"/>
        <w:numPr>
          <w:ilvl w:val="0"/>
          <w:numId w:val="38"/>
        </w:numPr>
        <w:spacing w:line="276" w:lineRule="auto"/>
        <w:jc w:val="both"/>
        <w:rPr>
          <w:rFonts w:ascii="Times New Roman CE" w:hAnsi="Times New Roman CE" w:cs="Arial"/>
        </w:rPr>
      </w:pPr>
      <w:r w:rsidRPr="00D603B2">
        <w:rPr>
          <w:rFonts w:ascii="Times New Roman CE" w:hAnsi="Times New Roman CE" w:cs="Arial"/>
        </w:rPr>
        <w:t xml:space="preserve">Tento Jednací řád </w:t>
      </w:r>
      <w:r w:rsidR="00826F9C" w:rsidRPr="00826F9C">
        <w:rPr>
          <w:rFonts w:ascii="Times New Roman CE" w:hAnsi="Times New Roman CE" w:cs="Arial"/>
        </w:rPr>
        <w:t>upravuje přípravu a způsob svolání zasedání, průběh zasedání, hlasování a přijímání usnesení Řídícího výboru a další záležitosti související se zasedáním výboru</w:t>
      </w:r>
      <w:r w:rsidR="00826F9C">
        <w:rPr>
          <w:rFonts w:ascii="Times New Roman CE" w:hAnsi="Times New Roman CE" w:cs="Arial"/>
        </w:rPr>
        <w:t xml:space="preserve"> </w:t>
      </w:r>
      <w:r w:rsidRPr="00D603B2">
        <w:rPr>
          <w:rFonts w:ascii="Times New Roman CE" w:hAnsi="Times New Roman CE" w:cs="Arial"/>
        </w:rPr>
        <w:t xml:space="preserve">projektu </w:t>
      </w:r>
      <w:r w:rsidR="00D60CA4">
        <w:rPr>
          <w:rFonts w:ascii="Times New Roman CE" w:hAnsi="Times New Roman CE" w:cs="Arial"/>
        </w:rPr>
        <w:t>Místní akční plán rozvoje vzdělávání ORP Český Těšín</w:t>
      </w:r>
      <w:r w:rsidRPr="00D603B2">
        <w:rPr>
          <w:rFonts w:ascii="Times New Roman CE" w:hAnsi="Times New Roman CE" w:cs="Arial"/>
        </w:rPr>
        <w:t xml:space="preserve">, </w:t>
      </w:r>
      <w:proofErr w:type="spellStart"/>
      <w:r w:rsidR="00D60CA4" w:rsidRPr="00D60CA4">
        <w:rPr>
          <w:color w:val="000000" w:themeColor="text1"/>
        </w:rPr>
        <w:t>reg</w:t>
      </w:r>
      <w:proofErr w:type="spellEnd"/>
      <w:r w:rsidR="00D60CA4" w:rsidRPr="00D60CA4">
        <w:rPr>
          <w:color w:val="000000" w:themeColor="text1"/>
        </w:rPr>
        <w:t>. č. CZ.02.3.68/0.0/0.0/15_005/0000146</w:t>
      </w:r>
      <w:r w:rsidR="00166454">
        <w:rPr>
          <w:color w:val="000000" w:themeColor="text1"/>
        </w:rPr>
        <w:t xml:space="preserve"> </w:t>
      </w:r>
      <w:r w:rsidRPr="00D603B2">
        <w:rPr>
          <w:rFonts w:ascii="Times New Roman CE" w:hAnsi="Times New Roman CE" w:cs="Arial"/>
        </w:rPr>
        <w:t>(dále jen ŘV MAP) vytvořeného na základě Statutu ŘV MAP ze dne</w:t>
      </w:r>
      <w:r>
        <w:rPr>
          <w:rFonts w:ascii="Times New Roman CE" w:hAnsi="Times New Roman CE" w:cs="Arial"/>
        </w:rPr>
        <w:t xml:space="preserve"> </w:t>
      </w:r>
      <w:r w:rsidR="00047766">
        <w:rPr>
          <w:rFonts w:ascii="Times New Roman CE" w:hAnsi="Times New Roman CE" w:cs="Arial"/>
        </w:rPr>
        <w:t>……..</w:t>
      </w:r>
      <w:r w:rsidR="00166454">
        <w:rPr>
          <w:rFonts w:ascii="Times New Roman CE" w:hAnsi="Times New Roman CE" w:cs="Arial"/>
        </w:rPr>
        <w:t>.</w:t>
      </w:r>
    </w:p>
    <w:p w:rsidR="00D603B2" w:rsidRPr="00D603B2" w:rsidRDefault="00D603B2" w:rsidP="00D603B2">
      <w:pPr>
        <w:pStyle w:val="Odstavecseseznamem"/>
        <w:numPr>
          <w:ilvl w:val="0"/>
          <w:numId w:val="38"/>
        </w:numPr>
        <w:spacing w:line="276" w:lineRule="auto"/>
        <w:jc w:val="both"/>
        <w:rPr>
          <w:rFonts w:ascii="Times New Roman CE" w:hAnsi="Times New Roman CE" w:cs="Arial"/>
        </w:rPr>
      </w:pPr>
      <w:r>
        <w:rPr>
          <w:rFonts w:ascii="Times New Roman CE" w:hAnsi="Times New Roman CE" w:cs="Arial"/>
        </w:rPr>
        <w:t>Jednací řád schvaluje ŘV MAP na svém prvním zasedání.</w:t>
      </w:r>
    </w:p>
    <w:p w:rsidR="00D603B2" w:rsidRDefault="00D603B2" w:rsidP="00D603B2">
      <w:pPr>
        <w:spacing w:line="276" w:lineRule="auto"/>
        <w:jc w:val="both"/>
        <w:rPr>
          <w:rFonts w:ascii="Times New Roman CE" w:hAnsi="Times New Roman CE" w:cs="Arial"/>
          <w:b/>
        </w:rPr>
      </w:pPr>
    </w:p>
    <w:p w:rsidR="00D603B2" w:rsidRP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Čl. 2</w:t>
      </w:r>
    </w:p>
    <w:p w:rsid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Jednání ŘV MAP</w:t>
      </w:r>
    </w:p>
    <w:p w:rsidR="00D603B2" w:rsidRPr="00D603B2" w:rsidRDefault="00D603B2" w:rsidP="00D603B2">
      <w:pPr>
        <w:spacing w:line="276" w:lineRule="auto"/>
        <w:jc w:val="center"/>
        <w:rPr>
          <w:rFonts w:ascii="Times New Roman CE" w:hAnsi="Times New Roman CE" w:cs="Arial"/>
          <w:b/>
        </w:rPr>
      </w:pPr>
    </w:p>
    <w:p w:rsidR="00EA5D5D" w:rsidRDefault="00EA5D5D" w:rsidP="00EA5D5D">
      <w:pPr>
        <w:pStyle w:val="Odstavecseseznamem"/>
        <w:numPr>
          <w:ilvl w:val="0"/>
          <w:numId w:val="40"/>
        </w:numPr>
        <w:spacing w:line="276" w:lineRule="auto"/>
        <w:jc w:val="both"/>
        <w:rPr>
          <w:rFonts w:ascii="Times New Roman CE" w:hAnsi="Times New Roman CE" w:cs="Arial"/>
        </w:rPr>
      </w:pPr>
      <w:r w:rsidRPr="00EA5D5D">
        <w:rPr>
          <w:rFonts w:ascii="Times New Roman CE" w:hAnsi="Times New Roman CE" w:cs="Arial"/>
        </w:rPr>
        <w:t>Zasedání výboru jsou neveřejná, výbor přiměřeným způsobem zajistí informování o své práci a přijatých závěrech, které jsou prezentovány veřejnosti</w:t>
      </w:r>
      <w:r>
        <w:rPr>
          <w:rFonts w:ascii="Times New Roman CE" w:hAnsi="Times New Roman CE" w:cs="Arial"/>
        </w:rPr>
        <w:t>.</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t xml:space="preserve">ŘV MAP se schází podle potřeby, nejméně však čtyřikrát za kalendářní rok a dále na základě podnětu některého z členů ŘV MAP. Podle aktuální potřeby také komunikuje prostřednictvím prostředků </w:t>
      </w:r>
      <w:r w:rsidR="00452E70">
        <w:rPr>
          <w:rFonts w:ascii="Times New Roman CE" w:hAnsi="Times New Roman CE" w:cs="Arial"/>
        </w:rPr>
        <w:t>elektronické</w:t>
      </w:r>
      <w:r w:rsidRPr="00D603B2">
        <w:rPr>
          <w:rFonts w:ascii="Times New Roman CE" w:hAnsi="Times New Roman CE" w:cs="Arial"/>
        </w:rPr>
        <w:t xml:space="preserve"> komunikace. </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t xml:space="preserve">S výjimkou naléhavých případů zasedání ŘV MAP svolává </w:t>
      </w:r>
      <w:r w:rsidR="00CF73E4">
        <w:rPr>
          <w:rFonts w:ascii="Times New Roman CE" w:hAnsi="Times New Roman CE" w:cs="Arial"/>
        </w:rPr>
        <w:t xml:space="preserve">na výzvu </w:t>
      </w:r>
      <w:r w:rsidRPr="00D603B2">
        <w:rPr>
          <w:rFonts w:ascii="Times New Roman CE" w:hAnsi="Times New Roman CE" w:cs="Arial"/>
        </w:rPr>
        <w:t>předsed</w:t>
      </w:r>
      <w:r w:rsidR="00CF73E4">
        <w:rPr>
          <w:rFonts w:ascii="Times New Roman CE" w:hAnsi="Times New Roman CE" w:cs="Arial"/>
        </w:rPr>
        <w:t>y</w:t>
      </w:r>
      <w:r w:rsidRPr="00D603B2">
        <w:rPr>
          <w:rFonts w:ascii="Times New Roman CE" w:hAnsi="Times New Roman CE" w:cs="Arial"/>
        </w:rPr>
        <w:t xml:space="preserve"> ŘV</w:t>
      </w:r>
      <w:r w:rsidR="00CF73E4">
        <w:rPr>
          <w:rFonts w:ascii="Times New Roman CE" w:hAnsi="Times New Roman CE" w:cs="Arial"/>
        </w:rPr>
        <w:t>, popřípadě místopředsedy</w:t>
      </w:r>
      <w:r w:rsidRPr="00D603B2">
        <w:rPr>
          <w:rFonts w:ascii="Times New Roman CE" w:hAnsi="Times New Roman CE" w:cs="Arial"/>
        </w:rPr>
        <w:t xml:space="preserve"> </w:t>
      </w:r>
      <w:r w:rsidR="00CF73E4">
        <w:rPr>
          <w:rFonts w:ascii="Times New Roman CE" w:hAnsi="Times New Roman CE" w:cs="Arial"/>
        </w:rPr>
        <w:t xml:space="preserve">sekretariát ŘV MAP </w:t>
      </w:r>
      <w:r w:rsidRPr="00D603B2">
        <w:rPr>
          <w:rFonts w:ascii="Times New Roman CE" w:hAnsi="Times New Roman CE" w:cs="Arial"/>
        </w:rPr>
        <w:t xml:space="preserve">nejméně 10 dní před termínem prostřednictvím prostředků </w:t>
      </w:r>
      <w:r w:rsidR="00452E70">
        <w:rPr>
          <w:rFonts w:ascii="Times New Roman CE" w:hAnsi="Times New Roman CE" w:cs="Arial"/>
        </w:rPr>
        <w:t>elektronické</w:t>
      </w:r>
      <w:r w:rsidRPr="00D603B2">
        <w:rPr>
          <w:rFonts w:ascii="Times New Roman CE" w:hAnsi="Times New Roman CE" w:cs="Arial"/>
        </w:rPr>
        <w:t xml:space="preserve"> komunikace. V dostatečném předstihu, nejpozději však 5</w:t>
      </w:r>
      <w:r w:rsidR="00CF73E4">
        <w:rPr>
          <w:rFonts w:ascii="Times New Roman CE" w:hAnsi="Times New Roman CE" w:cs="Arial"/>
        </w:rPr>
        <w:t xml:space="preserve"> </w:t>
      </w:r>
      <w:r w:rsidRPr="00D603B2">
        <w:rPr>
          <w:rFonts w:ascii="Times New Roman CE" w:hAnsi="Times New Roman CE" w:cs="Arial"/>
        </w:rPr>
        <w:t xml:space="preserve">pracovních dní před jednáním, bude zaslán program jednání včetně nezbytných podkladů, a to rovněž prostřednictvím prostředků </w:t>
      </w:r>
      <w:r w:rsidR="00452E70">
        <w:rPr>
          <w:rFonts w:ascii="Times New Roman CE" w:hAnsi="Times New Roman CE" w:cs="Arial"/>
        </w:rPr>
        <w:t>elektronické</w:t>
      </w:r>
      <w:r w:rsidRPr="00D603B2">
        <w:rPr>
          <w:rFonts w:ascii="Times New Roman CE" w:hAnsi="Times New Roman CE" w:cs="Arial"/>
        </w:rPr>
        <w:t xml:space="preserve"> komunikace.</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t>Program jednání navrhuje předseda ve spolupráci s realizátorem projektu</w:t>
      </w:r>
      <w:r w:rsidR="00DD3083">
        <w:rPr>
          <w:rFonts w:ascii="Times New Roman CE" w:hAnsi="Times New Roman CE" w:cs="Arial"/>
        </w:rPr>
        <w:t xml:space="preserve"> na základě podkladů zpracovaných členy Pracovních skupin. </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t xml:space="preserve">Jednání řídí předseda, v jeho nepřítomnosti </w:t>
      </w:r>
      <w:r w:rsidR="001A1CC8">
        <w:rPr>
          <w:rFonts w:ascii="Times New Roman CE" w:hAnsi="Times New Roman CE" w:cs="Arial"/>
        </w:rPr>
        <w:t xml:space="preserve">místopředseda, případně </w:t>
      </w:r>
      <w:r w:rsidRPr="00D603B2">
        <w:rPr>
          <w:rFonts w:ascii="Times New Roman CE" w:hAnsi="Times New Roman CE" w:cs="Arial"/>
        </w:rPr>
        <w:t xml:space="preserve">jím určený člen ŘV. Předseda určuje ověřovatele zápisu. </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t>Kterýkoliv člen ŘV MAP může navrhnout k projednání bod, který není na programu.</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t>Pro případ nepřítomnosti může člen ŘV MAP určit svého zástupce na jednání v ŘV MAP. Tento zástupce má na jednání ŘV stejná práva a povinnosti jako člen ŘV, včetně výkonu hlasovacích a spolurozhodovacích práv.</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lastRenderedPageBreak/>
        <w:t xml:space="preserve">Na pozvání předsedy nebo </w:t>
      </w:r>
      <w:r w:rsidR="00DD3083">
        <w:rPr>
          <w:rFonts w:ascii="Times New Roman CE" w:hAnsi="Times New Roman CE" w:cs="Arial"/>
        </w:rPr>
        <w:t xml:space="preserve">realizátora </w:t>
      </w:r>
      <w:r w:rsidRPr="00D603B2">
        <w:rPr>
          <w:rFonts w:ascii="Times New Roman CE" w:hAnsi="Times New Roman CE" w:cs="Arial"/>
        </w:rPr>
        <w:t xml:space="preserve">projektu se </w:t>
      </w:r>
      <w:r w:rsidR="00DD3083">
        <w:rPr>
          <w:rFonts w:ascii="Times New Roman CE" w:hAnsi="Times New Roman CE" w:cs="Arial"/>
        </w:rPr>
        <w:t xml:space="preserve">jednání </w:t>
      </w:r>
      <w:r w:rsidRPr="00D603B2">
        <w:rPr>
          <w:rFonts w:ascii="Times New Roman CE" w:hAnsi="Times New Roman CE" w:cs="Arial"/>
        </w:rPr>
        <w:t>ŘV MAP mohou zúčastnit další osoby.</w:t>
      </w:r>
    </w:p>
    <w:p w:rsidR="00D603B2" w:rsidRPr="00D603B2" w:rsidRDefault="00D603B2" w:rsidP="00D603B2">
      <w:pPr>
        <w:pStyle w:val="Odstavecseseznamem"/>
        <w:numPr>
          <w:ilvl w:val="0"/>
          <w:numId w:val="40"/>
        </w:numPr>
        <w:spacing w:line="276" w:lineRule="auto"/>
        <w:jc w:val="both"/>
        <w:rPr>
          <w:rFonts w:ascii="Times New Roman CE" w:hAnsi="Times New Roman CE" w:cs="Arial"/>
        </w:rPr>
      </w:pPr>
      <w:r w:rsidRPr="00D603B2">
        <w:rPr>
          <w:rFonts w:ascii="Times New Roman CE" w:hAnsi="Times New Roman CE" w:cs="Arial"/>
        </w:rPr>
        <w:t>Na závěr každého jednání bud</w:t>
      </w:r>
      <w:r w:rsidR="00C4500C">
        <w:rPr>
          <w:rFonts w:ascii="Times New Roman CE" w:hAnsi="Times New Roman CE" w:cs="Arial"/>
        </w:rPr>
        <w:t>ou</w:t>
      </w:r>
      <w:r w:rsidRPr="00D603B2">
        <w:rPr>
          <w:rFonts w:ascii="Times New Roman CE" w:hAnsi="Times New Roman CE" w:cs="Arial"/>
        </w:rPr>
        <w:t xml:space="preserve"> stanoveny úkoly a odpovědnosti členů ŘV MAP, členů Pracovních skupin a projektového týmu na další období. </w:t>
      </w:r>
    </w:p>
    <w:p w:rsidR="00D603B2" w:rsidRPr="00C4500C" w:rsidRDefault="00D603B2" w:rsidP="00C4500C">
      <w:pPr>
        <w:pStyle w:val="Odstavecseseznamem"/>
        <w:numPr>
          <w:ilvl w:val="0"/>
          <w:numId w:val="40"/>
        </w:numPr>
        <w:spacing w:line="276" w:lineRule="auto"/>
        <w:jc w:val="both"/>
        <w:rPr>
          <w:rFonts w:ascii="Times New Roman CE" w:hAnsi="Times New Roman CE" w:cs="Arial"/>
        </w:rPr>
      </w:pPr>
      <w:r w:rsidRPr="00C4500C">
        <w:rPr>
          <w:rFonts w:ascii="Times New Roman CE" w:hAnsi="Times New Roman CE" w:cs="Arial"/>
        </w:rPr>
        <w:t>Realizátor projektu MAP plní roli sekretariátu ŘV MAP a zajišťuje organizaci jednání.</w:t>
      </w:r>
    </w:p>
    <w:p w:rsidR="00D603B2" w:rsidRPr="00D603B2" w:rsidRDefault="00D603B2" w:rsidP="00D603B2">
      <w:pPr>
        <w:spacing w:line="276" w:lineRule="auto"/>
        <w:jc w:val="both"/>
        <w:rPr>
          <w:rFonts w:ascii="Times New Roman CE" w:hAnsi="Times New Roman CE" w:cs="Arial"/>
        </w:rPr>
      </w:pPr>
    </w:p>
    <w:p w:rsidR="00D603B2" w:rsidRP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Čl. 3</w:t>
      </w:r>
    </w:p>
    <w:p w:rsid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Hlasování a usnášeníschopnost</w:t>
      </w:r>
    </w:p>
    <w:p w:rsidR="00D603B2" w:rsidRPr="00D603B2" w:rsidRDefault="00D603B2" w:rsidP="00D603B2">
      <w:pPr>
        <w:spacing w:line="276" w:lineRule="auto"/>
        <w:jc w:val="center"/>
        <w:rPr>
          <w:rFonts w:ascii="Times New Roman CE" w:hAnsi="Times New Roman CE" w:cs="Arial"/>
          <w:b/>
        </w:rPr>
      </w:pPr>
    </w:p>
    <w:p w:rsidR="00D603B2" w:rsidRPr="00D603B2" w:rsidRDefault="00D603B2" w:rsidP="00D603B2">
      <w:pPr>
        <w:pStyle w:val="Odstavecseseznamem"/>
        <w:numPr>
          <w:ilvl w:val="0"/>
          <w:numId w:val="42"/>
        </w:numPr>
        <w:spacing w:line="276" w:lineRule="auto"/>
        <w:jc w:val="both"/>
        <w:rPr>
          <w:rFonts w:ascii="Times New Roman CE" w:hAnsi="Times New Roman CE" w:cs="Arial"/>
        </w:rPr>
      </w:pPr>
      <w:r w:rsidRPr="00D603B2">
        <w:rPr>
          <w:rFonts w:ascii="Times New Roman CE" w:hAnsi="Times New Roman CE" w:cs="Arial"/>
        </w:rPr>
        <w:t xml:space="preserve">ŘV MAP je způsobilý se usnášet, je-li přítomna nadpoloviční většina jeho členů. </w:t>
      </w:r>
    </w:p>
    <w:p w:rsidR="00D603B2" w:rsidRPr="00D603B2" w:rsidRDefault="00D603B2" w:rsidP="00D603B2">
      <w:pPr>
        <w:pStyle w:val="Odstavecseseznamem"/>
        <w:numPr>
          <w:ilvl w:val="0"/>
          <w:numId w:val="42"/>
        </w:numPr>
        <w:spacing w:line="276" w:lineRule="auto"/>
        <w:jc w:val="both"/>
        <w:rPr>
          <w:rFonts w:ascii="Times New Roman CE" w:hAnsi="Times New Roman CE" w:cs="Arial"/>
        </w:rPr>
      </w:pPr>
      <w:r w:rsidRPr="00D603B2">
        <w:rPr>
          <w:rFonts w:ascii="Times New Roman CE" w:hAnsi="Times New Roman CE" w:cs="Arial"/>
        </w:rPr>
        <w:t>ŘV MAP může projednat věc, která není na programu zasedání, souhlasí-li s tím většina přítomných členů ŘV.</w:t>
      </w:r>
    </w:p>
    <w:p w:rsidR="00147B50" w:rsidRDefault="00D603B2" w:rsidP="00D603B2">
      <w:pPr>
        <w:pStyle w:val="Odstavecseseznamem"/>
        <w:numPr>
          <w:ilvl w:val="0"/>
          <w:numId w:val="42"/>
        </w:numPr>
        <w:spacing w:line="276" w:lineRule="auto"/>
        <w:jc w:val="both"/>
        <w:rPr>
          <w:rFonts w:ascii="Times New Roman CE" w:hAnsi="Times New Roman CE" w:cs="Arial"/>
        </w:rPr>
      </w:pPr>
      <w:r w:rsidRPr="00D603B2">
        <w:rPr>
          <w:rFonts w:ascii="Times New Roman CE" w:hAnsi="Times New Roman CE" w:cs="Arial"/>
        </w:rPr>
        <w:t xml:space="preserve">Členové ŘV MAP nebo jejich zástupci na zasedání hlasují. Rozhodnutí ŘV MAP </w:t>
      </w:r>
      <w:r w:rsidR="000C7AB3">
        <w:rPr>
          <w:rFonts w:ascii="Times New Roman CE" w:hAnsi="Times New Roman CE" w:cs="Arial"/>
        </w:rPr>
        <w:t xml:space="preserve">ve formě usnesení </w:t>
      </w:r>
      <w:r w:rsidRPr="00D603B2">
        <w:rPr>
          <w:rFonts w:ascii="Times New Roman CE" w:hAnsi="Times New Roman CE" w:cs="Arial"/>
        </w:rPr>
        <w:t xml:space="preserve">je přijato </w:t>
      </w:r>
      <w:r w:rsidR="00047766">
        <w:rPr>
          <w:rFonts w:ascii="Times New Roman CE" w:hAnsi="Times New Roman CE" w:cs="Arial"/>
        </w:rPr>
        <w:t xml:space="preserve">nadpoloviční </w:t>
      </w:r>
      <w:r w:rsidRPr="00D603B2">
        <w:rPr>
          <w:rFonts w:ascii="Times New Roman CE" w:hAnsi="Times New Roman CE" w:cs="Arial"/>
        </w:rPr>
        <w:t xml:space="preserve">většinou hlasů přítomných členů. Každý člen ŘV MAP má jeden hlas. Pokud je přítomen sudý počet hlasujících a dojde k rovnosti hlasů, rozhoduje hlas předsedy. </w:t>
      </w:r>
    </w:p>
    <w:p w:rsidR="00D603B2" w:rsidRPr="00D603B2" w:rsidRDefault="00147B50" w:rsidP="00D603B2">
      <w:pPr>
        <w:pStyle w:val="Odstavecseseznamem"/>
        <w:numPr>
          <w:ilvl w:val="0"/>
          <w:numId w:val="42"/>
        </w:numPr>
        <w:spacing w:line="276" w:lineRule="auto"/>
        <w:jc w:val="both"/>
        <w:rPr>
          <w:rFonts w:ascii="Times New Roman CE" w:hAnsi="Times New Roman CE" w:cs="Arial"/>
        </w:rPr>
      </w:pPr>
      <w:r w:rsidRPr="00A17916">
        <w:t xml:space="preserve">Statut i Jednací řád musí být schváleny </w:t>
      </w:r>
      <w:r w:rsidR="00F236F5">
        <w:t>dvoutřetinovou</w:t>
      </w:r>
      <w:r w:rsidRPr="00A17916">
        <w:t xml:space="preserve"> většinou přítomných členů Ř</w:t>
      </w:r>
      <w:r>
        <w:t>ídícího výboru</w:t>
      </w:r>
      <w:r w:rsidRPr="00A17916">
        <w:t xml:space="preserve"> MAP.</w:t>
      </w:r>
    </w:p>
    <w:p w:rsidR="00D603B2" w:rsidRPr="003716BA" w:rsidRDefault="003716BA" w:rsidP="003716BA">
      <w:pPr>
        <w:pStyle w:val="Odstavecseseznamem"/>
        <w:numPr>
          <w:ilvl w:val="0"/>
          <w:numId w:val="42"/>
        </w:numPr>
        <w:spacing w:line="276" w:lineRule="auto"/>
        <w:jc w:val="both"/>
        <w:rPr>
          <w:rFonts w:ascii="Times New Roman CE" w:hAnsi="Times New Roman CE" w:cs="Arial"/>
        </w:rPr>
      </w:pPr>
      <w:r w:rsidRPr="003716BA">
        <w:rPr>
          <w:rFonts w:ascii="Times New Roman CE" w:hAnsi="Times New Roman CE" w:cs="Arial"/>
        </w:rPr>
        <w:t>V mimořádných a řádně odůvodněných případech může předseda výboru použít proceduru písemného projednávání, které organizačně zajišťuje sekretariát.  Procedura písemného projednávání probíhá prostřednictvím elektronické pošty. Písemné projednávání je zahájeno odesláním podkladových materiálů členům výboru prostřednictvím elektronické pošty. Toto hlasování je ukončeno uplynutím lhůty stanovené k doručení odpovědí. Lhůta pro vyjádření k návrhu usnesení je 5 pracovních dní ode dne odeslání, v mimořádném případě může předseda tuto lhůtu zkrátit. K přijetí usnesení je třeba souhlasu nadpoloviční většiny všech členů s hlasovacím právem. Sekretariát výboru vždy do 5 pracovních dnů po uplynutí lhůty pro připomínky informuje formou zápisu členy výboru o výsledku písemného projednávání.</w:t>
      </w:r>
      <w:r w:rsidR="00D603B2" w:rsidRPr="003716BA">
        <w:rPr>
          <w:rFonts w:ascii="Times New Roman CE" w:hAnsi="Times New Roman CE" w:cs="Arial"/>
        </w:rPr>
        <w:t xml:space="preserve"> </w:t>
      </w:r>
    </w:p>
    <w:p w:rsidR="00D603B2" w:rsidRPr="00D603B2" w:rsidRDefault="00D603B2" w:rsidP="00D603B2">
      <w:pPr>
        <w:spacing w:line="276" w:lineRule="auto"/>
        <w:jc w:val="both"/>
        <w:rPr>
          <w:rFonts w:ascii="Times New Roman CE" w:hAnsi="Times New Roman CE" w:cs="Arial"/>
        </w:rPr>
      </w:pPr>
    </w:p>
    <w:p w:rsidR="00D603B2" w:rsidRP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Čl. 4</w:t>
      </w:r>
    </w:p>
    <w:p w:rsid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Zápis</w:t>
      </w:r>
    </w:p>
    <w:p w:rsidR="00D603B2" w:rsidRPr="00D603B2" w:rsidRDefault="00D603B2" w:rsidP="00D603B2">
      <w:pPr>
        <w:spacing w:line="276" w:lineRule="auto"/>
        <w:jc w:val="center"/>
        <w:rPr>
          <w:rFonts w:ascii="Times New Roman CE" w:hAnsi="Times New Roman CE" w:cs="Arial"/>
          <w:b/>
        </w:rPr>
      </w:pPr>
    </w:p>
    <w:p w:rsidR="00330723" w:rsidRDefault="00330723" w:rsidP="00D603B2">
      <w:pPr>
        <w:pStyle w:val="Odstavecseseznamem"/>
        <w:numPr>
          <w:ilvl w:val="0"/>
          <w:numId w:val="44"/>
        </w:numPr>
        <w:spacing w:line="276" w:lineRule="auto"/>
        <w:jc w:val="both"/>
        <w:rPr>
          <w:rFonts w:ascii="Times New Roman CE" w:hAnsi="Times New Roman CE" w:cs="Arial"/>
        </w:rPr>
      </w:pPr>
      <w:r w:rsidRPr="00D603B2">
        <w:rPr>
          <w:rFonts w:ascii="Times New Roman CE" w:hAnsi="Times New Roman CE" w:cs="Arial"/>
        </w:rPr>
        <w:t>Ověřovatele zápisu určí předseda na začátku každého zasedání</w:t>
      </w:r>
      <w:r>
        <w:rPr>
          <w:rFonts w:ascii="Times New Roman CE" w:hAnsi="Times New Roman CE" w:cs="Arial"/>
        </w:rPr>
        <w:t>.</w:t>
      </w:r>
    </w:p>
    <w:p w:rsidR="00D603B2" w:rsidRPr="00CF73E4" w:rsidRDefault="0066321E" w:rsidP="00D603B2">
      <w:pPr>
        <w:pStyle w:val="Odstavecseseznamem"/>
        <w:numPr>
          <w:ilvl w:val="0"/>
          <w:numId w:val="44"/>
        </w:numPr>
        <w:spacing w:line="276" w:lineRule="auto"/>
        <w:jc w:val="both"/>
        <w:rPr>
          <w:rFonts w:ascii="Times New Roman CE" w:hAnsi="Times New Roman CE" w:cs="Arial"/>
          <w:b/>
        </w:rPr>
      </w:pPr>
      <w:r>
        <w:rPr>
          <w:rFonts w:ascii="Times New Roman CE" w:hAnsi="Times New Roman CE" w:cs="Arial"/>
        </w:rPr>
        <w:t>Z jednání pořizuje r</w:t>
      </w:r>
      <w:r w:rsidR="00D603B2" w:rsidRPr="00D603B2">
        <w:rPr>
          <w:rFonts w:ascii="Times New Roman CE" w:hAnsi="Times New Roman CE" w:cs="Arial"/>
        </w:rPr>
        <w:t xml:space="preserve">ealizátor projektu MAP písemný zápis, který nejpozději 5 pracovních dnů po skončení jednání odesílá elektronicky ověřovateli zápisu. Zápis je po ověření ověřovatelem následně rozeslán všem členům ŘV a zveřejněn na webových stránkách </w:t>
      </w:r>
      <w:r w:rsidR="00047766">
        <w:rPr>
          <w:rFonts w:ascii="Times New Roman CE" w:hAnsi="Times New Roman CE" w:cs="Arial"/>
        </w:rPr>
        <w:t>projektu.</w:t>
      </w:r>
      <w:r w:rsidRPr="00CF73E4">
        <w:rPr>
          <w:rFonts w:ascii="Times New Roman CE" w:hAnsi="Times New Roman CE" w:cs="Arial"/>
          <w:b/>
        </w:rPr>
        <w:t xml:space="preserve"> </w:t>
      </w:r>
    </w:p>
    <w:p w:rsidR="00D603B2" w:rsidRDefault="00330723" w:rsidP="00330723">
      <w:pPr>
        <w:pStyle w:val="Odstavecseseznamem"/>
        <w:numPr>
          <w:ilvl w:val="0"/>
          <w:numId w:val="44"/>
        </w:numPr>
        <w:spacing w:line="276" w:lineRule="auto"/>
        <w:jc w:val="both"/>
        <w:rPr>
          <w:rFonts w:ascii="Times New Roman CE" w:hAnsi="Times New Roman CE" w:cs="Arial"/>
        </w:rPr>
      </w:pPr>
      <w:r w:rsidRPr="00330723">
        <w:rPr>
          <w:rFonts w:ascii="Times New Roman CE" w:hAnsi="Times New Roman CE" w:cs="Arial"/>
        </w:rPr>
        <w:t>Zápis musí obsahovat datum a místo zasedání, jméno předsedajícího, hodinu zahájení a ukončení zasedání, seznam zúčastněných členů a přizvaných hostů, schválený program zasedání, průběh diskuse, průběh hlasování a obsah přijatých usnesení.</w:t>
      </w:r>
    </w:p>
    <w:p w:rsidR="00D62D9F" w:rsidRPr="00D603B2" w:rsidRDefault="00D62D9F" w:rsidP="00D62D9F">
      <w:pPr>
        <w:pStyle w:val="Odstavecseseznamem"/>
        <w:numPr>
          <w:ilvl w:val="0"/>
          <w:numId w:val="44"/>
        </w:numPr>
        <w:spacing w:line="276" w:lineRule="auto"/>
        <w:jc w:val="both"/>
        <w:rPr>
          <w:rFonts w:ascii="Times New Roman CE" w:hAnsi="Times New Roman CE" w:cs="Arial"/>
        </w:rPr>
      </w:pPr>
      <w:r w:rsidRPr="00D62D9F">
        <w:rPr>
          <w:rFonts w:ascii="Times New Roman CE" w:hAnsi="Times New Roman CE" w:cs="Arial"/>
        </w:rPr>
        <w:t>Zápis podepisuje předseda, popří</w:t>
      </w:r>
      <w:r>
        <w:rPr>
          <w:rFonts w:ascii="Times New Roman CE" w:hAnsi="Times New Roman CE" w:cs="Arial"/>
        </w:rPr>
        <w:t>padě místopředseda a ověřovatel</w:t>
      </w:r>
      <w:r w:rsidRPr="00D62D9F">
        <w:rPr>
          <w:rFonts w:ascii="Times New Roman CE" w:hAnsi="Times New Roman CE" w:cs="Arial"/>
        </w:rPr>
        <w:t>.</w:t>
      </w:r>
    </w:p>
    <w:p w:rsidR="00D603B2" w:rsidRDefault="00D603B2" w:rsidP="00330723">
      <w:pPr>
        <w:pStyle w:val="Odstavecseseznamem"/>
        <w:spacing w:line="276" w:lineRule="auto"/>
        <w:jc w:val="both"/>
        <w:rPr>
          <w:rFonts w:ascii="Times New Roman CE" w:hAnsi="Times New Roman CE" w:cs="Arial"/>
        </w:rPr>
      </w:pPr>
    </w:p>
    <w:p w:rsidR="00D603B2" w:rsidRP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Čl. 5</w:t>
      </w:r>
    </w:p>
    <w:p w:rsidR="00D603B2" w:rsidRDefault="00D603B2" w:rsidP="00D603B2">
      <w:pPr>
        <w:spacing w:line="276" w:lineRule="auto"/>
        <w:jc w:val="center"/>
        <w:rPr>
          <w:rFonts w:ascii="Times New Roman CE" w:hAnsi="Times New Roman CE" w:cs="Arial"/>
          <w:b/>
        </w:rPr>
      </w:pPr>
      <w:r w:rsidRPr="00D603B2">
        <w:rPr>
          <w:rFonts w:ascii="Times New Roman CE" w:hAnsi="Times New Roman CE" w:cs="Arial"/>
          <w:b/>
        </w:rPr>
        <w:t>Závěrečná ustanovení</w:t>
      </w:r>
    </w:p>
    <w:p w:rsidR="00D603B2" w:rsidRPr="00D603B2" w:rsidRDefault="00D603B2" w:rsidP="00D603B2">
      <w:pPr>
        <w:spacing w:line="276" w:lineRule="auto"/>
        <w:jc w:val="center"/>
        <w:rPr>
          <w:rFonts w:ascii="Times New Roman CE" w:hAnsi="Times New Roman CE" w:cs="Arial"/>
          <w:b/>
        </w:rPr>
      </w:pPr>
    </w:p>
    <w:p w:rsidR="00330723" w:rsidRDefault="00330723" w:rsidP="00330723">
      <w:pPr>
        <w:pStyle w:val="Odstavecseseznamem"/>
        <w:numPr>
          <w:ilvl w:val="0"/>
          <w:numId w:val="46"/>
        </w:numPr>
        <w:spacing w:line="276" w:lineRule="auto"/>
        <w:jc w:val="both"/>
        <w:rPr>
          <w:rFonts w:ascii="Times New Roman CE" w:hAnsi="Times New Roman CE" w:cs="Arial"/>
        </w:rPr>
      </w:pPr>
      <w:r w:rsidRPr="00330723">
        <w:rPr>
          <w:rFonts w:ascii="Times New Roman CE" w:hAnsi="Times New Roman CE" w:cs="Arial"/>
        </w:rPr>
        <w:t>Schválení a změny jednacího řádu mohou být činěny jen formou usnesení, které přijme Řídící výbor.</w:t>
      </w:r>
      <w:r>
        <w:rPr>
          <w:rFonts w:ascii="Times New Roman CE" w:hAnsi="Times New Roman CE" w:cs="Arial"/>
        </w:rPr>
        <w:t xml:space="preserve"> </w:t>
      </w:r>
    </w:p>
    <w:p w:rsidR="002138E0" w:rsidRDefault="002138E0" w:rsidP="00330723">
      <w:pPr>
        <w:pStyle w:val="Odstavecseseznamem"/>
        <w:numPr>
          <w:ilvl w:val="0"/>
          <w:numId w:val="46"/>
        </w:numPr>
        <w:spacing w:line="276" w:lineRule="auto"/>
        <w:jc w:val="both"/>
        <w:rPr>
          <w:rFonts w:ascii="Times New Roman CE" w:hAnsi="Times New Roman CE" w:cs="Arial"/>
        </w:rPr>
      </w:pPr>
      <w:r w:rsidRPr="002138E0">
        <w:rPr>
          <w:rFonts w:ascii="Times New Roman CE" w:hAnsi="Times New Roman CE" w:cs="Arial"/>
        </w:rPr>
        <w:t>Vše, co není explicitně uvedeno v tomto jednacím řádu, se řídí platnými právními předpisy</w:t>
      </w:r>
      <w:r>
        <w:rPr>
          <w:rFonts w:ascii="Times New Roman CE" w:hAnsi="Times New Roman CE" w:cs="Arial"/>
        </w:rPr>
        <w:t>.</w:t>
      </w:r>
    </w:p>
    <w:p w:rsidR="002138E0" w:rsidRPr="00D603B2" w:rsidRDefault="002138E0" w:rsidP="002138E0">
      <w:pPr>
        <w:pStyle w:val="Odstavecseseznamem"/>
        <w:numPr>
          <w:ilvl w:val="0"/>
          <w:numId w:val="46"/>
        </w:numPr>
        <w:spacing w:line="276" w:lineRule="auto"/>
        <w:jc w:val="both"/>
        <w:rPr>
          <w:rFonts w:ascii="Times New Roman CE" w:hAnsi="Times New Roman CE" w:cs="Arial"/>
        </w:rPr>
      </w:pPr>
      <w:r w:rsidRPr="002138E0">
        <w:rPr>
          <w:rFonts w:ascii="Times New Roman CE" w:hAnsi="Times New Roman CE" w:cs="Arial"/>
        </w:rPr>
        <w:t xml:space="preserve">Originál tohoto jednacího řádu bude uložen v sídle sekretariátu výboru a bude archivován v souladu s požadavky legislativy EU a vnitřním systémem archivace upraveným vnitřní normou sekretariátu. Jednací řád bude také zveřejněn na webových stránkách města </w:t>
      </w:r>
      <w:r w:rsidR="00F236F5">
        <w:rPr>
          <w:rFonts w:ascii="Times New Roman CE" w:hAnsi="Times New Roman CE" w:cs="Arial"/>
        </w:rPr>
        <w:t>www.tesin.cz.</w:t>
      </w:r>
    </w:p>
    <w:p w:rsidR="00D603B2" w:rsidRPr="00D603B2" w:rsidRDefault="00D603B2" w:rsidP="00D603B2">
      <w:pPr>
        <w:pStyle w:val="Odstavecseseznamem"/>
        <w:numPr>
          <w:ilvl w:val="0"/>
          <w:numId w:val="46"/>
        </w:numPr>
        <w:spacing w:line="276" w:lineRule="auto"/>
        <w:jc w:val="both"/>
        <w:rPr>
          <w:rFonts w:ascii="Times New Roman CE" w:hAnsi="Times New Roman CE" w:cs="Arial"/>
        </w:rPr>
      </w:pPr>
      <w:r w:rsidRPr="00D603B2">
        <w:rPr>
          <w:rFonts w:ascii="Times New Roman CE" w:hAnsi="Times New Roman CE" w:cs="Arial"/>
        </w:rPr>
        <w:t>Tento Jednací řád nabývá účinnosti dne</w:t>
      </w:r>
      <w:r w:rsidR="0066321E">
        <w:rPr>
          <w:rFonts w:ascii="Times New Roman CE" w:hAnsi="Times New Roman CE" w:cs="Arial"/>
        </w:rPr>
        <w:t xml:space="preserve"> </w:t>
      </w:r>
      <w:r w:rsidR="00995F8D">
        <w:rPr>
          <w:rFonts w:ascii="Times New Roman CE" w:hAnsi="Times New Roman CE" w:cs="Arial"/>
        </w:rPr>
        <w:t>……………</w:t>
      </w:r>
      <w:r w:rsidR="0066321E">
        <w:rPr>
          <w:rFonts w:ascii="Times New Roman CE" w:hAnsi="Times New Roman CE" w:cs="Arial"/>
        </w:rPr>
        <w:t>.</w:t>
      </w:r>
    </w:p>
    <w:p w:rsidR="00D603B2" w:rsidRPr="00D603B2" w:rsidRDefault="00D603B2" w:rsidP="00D603B2">
      <w:pPr>
        <w:spacing w:line="276" w:lineRule="auto"/>
        <w:jc w:val="both"/>
        <w:rPr>
          <w:rFonts w:ascii="Times New Roman CE" w:hAnsi="Times New Roman CE" w:cs="Arial"/>
        </w:rPr>
      </w:pPr>
    </w:p>
    <w:p w:rsidR="00D603B2" w:rsidRDefault="00D603B2" w:rsidP="00D603B2">
      <w:pPr>
        <w:spacing w:line="276" w:lineRule="auto"/>
        <w:jc w:val="both"/>
        <w:rPr>
          <w:rFonts w:ascii="Times New Roman CE" w:hAnsi="Times New Roman CE" w:cs="Arial"/>
        </w:rPr>
      </w:pPr>
    </w:p>
    <w:p w:rsidR="00047766" w:rsidRDefault="00047766" w:rsidP="00D603B2">
      <w:pPr>
        <w:spacing w:line="276" w:lineRule="auto"/>
        <w:jc w:val="both"/>
        <w:rPr>
          <w:rFonts w:ascii="Times New Roman CE" w:hAnsi="Times New Roman CE" w:cs="Arial"/>
        </w:rPr>
      </w:pPr>
    </w:p>
    <w:p w:rsidR="00047766" w:rsidRDefault="00047766" w:rsidP="00D603B2">
      <w:pPr>
        <w:spacing w:line="276" w:lineRule="auto"/>
        <w:jc w:val="both"/>
        <w:rPr>
          <w:rFonts w:ascii="Times New Roman CE" w:hAnsi="Times New Roman CE" w:cs="Arial"/>
        </w:rPr>
      </w:pPr>
    </w:p>
    <w:p w:rsidR="00047766" w:rsidRPr="00D603B2" w:rsidRDefault="00047766" w:rsidP="00D603B2">
      <w:pPr>
        <w:spacing w:line="276" w:lineRule="auto"/>
        <w:jc w:val="both"/>
        <w:rPr>
          <w:rFonts w:ascii="Times New Roman CE" w:hAnsi="Times New Roman CE" w:cs="Arial"/>
        </w:rPr>
      </w:pPr>
    </w:p>
    <w:p w:rsidR="00D603B2" w:rsidRPr="00D603B2" w:rsidRDefault="00D603B2" w:rsidP="00D603B2">
      <w:pPr>
        <w:spacing w:line="276" w:lineRule="auto"/>
        <w:rPr>
          <w:rFonts w:ascii="Times New Roman CE" w:hAnsi="Times New Roman CE" w:cs="Arial"/>
        </w:rPr>
      </w:pPr>
      <w:r w:rsidRPr="00D603B2">
        <w:rPr>
          <w:rFonts w:ascii="Times New Roman CE" w:hAnsi="Times New Roman CE" w:cs="Arial"/>
        </w:rPr>
        <w:t>……………………………………..</w:t>
      </w:r>
      <w:r w:rsidRPr="00D603B2">
        <w:rPr>
          <w:rFonts w:ascii="Times New Roman CE" w:hAnsi="Times New Roman CE" w:cs="Arial"/>
        </w:rPr>
        <w:tab/>
      </w:r>
      <w:r w:rsidRPr="00D603B2">
        <w:rPr>
          <w:rFonts w:ascii="Times New Roman CE" w:hAnsi="Times New Roman CE" w:cs="Arial"/>
        </w:rPr>
        <w:tab/>
      </w:r>
      <w:r w:rsidRPr="00D603B2">
        <w:rPr>
          <w:rFonts w:ascii="Times New Roman CE" w:hAnsi="Times New Roman CE" w:cs="Arial"/>
        </w:rPr>
        <w:tab/>
        <w:t>……………………………………..</w:t>
      </w:r>
    </w:p>
    <w:p w:rsidR="00D603B2" w:rsidRDefault="00D603B2" w:rsidP="00D603B2">
      <w:pPr>
        <w:spacing w:line="276" w:lineRule="auto"/>
        <w:jc w:val="both"/>
        <w:rPr>
          <w:rFonts w:ascii="Times New Roman CE" w:hAnsi="Times New Roman CE" w:cs="Arial"/>
        </w:rPr>
      </w:pPr>
      <w:r w:rsidRPr="00D603B2">
        <w:rPr>
          <w:rFonts w:ascii="Times New Roman CE" w:hAnsi="Times New Roman CE" w:cs="Arial"/>
        </w:rPr>
        <w:t>Předseda ŘV MAP</w:t>
      </w:r>
      <w:r w:rsidRPr="00D603B2">
        <w:rPr>
          <w:rFonts w:ascii="Times New Roman CE" w:hAnsi="Times New Roman CE" w:cs="Arial"/>
        </w:rPr>
        <w:tab/>
      </w:r>
      <w:r w:rsidRPr="00D603B2">
        <w:rPr>
          <w:rFonts w:ascii="Times New Roman CE" w:hAnsi="Times New Roman CE" w:cs="Arial"/>
        </w:rPr>
        <w:tab/>
      </w:r>
      <w:r w:rsidRPr="00D603B2">
        <w:rPr>
          <w:rFonts w:ascii="Times New Roman CE" w:hAnsi="Times New Roman CE" w:cs="Arial"/>
        </w:rPr>
        <w:tab/>
      </w:r>
      <w:r w:rsidRPr="00D603B2">
        <w:rPr>
          <w:rFonts w:ascii="Times New Roman CE" w:hAnsi="Times New Roman CE" w:cs="Arial"/>
        </w:rPr>
        <w:tab/>
      </w:r>
      <w:r w:rsidRPr="00D603B2">
        <w:rPr>
          <w:rFonts w:ascii="Times New Roman CE" w:hAnsi="Times New Roman CE" w:cs="Arial"/>
        </w:rPr>
        <w:tab/>
        <w:t xml:space="preserve">   za realizátora projektu MAP</w:t>
      </w:r>
    </w:p>
    <w:p w:rsidR="00F236F5" w:rsidRPr="00D603B2" w:rsidRDefault="00F236F5" w:rsidP="00D603B2">
      <w:pPr>
        <w:spacing w:line="276" w:lineRule="auto"/>
        <w:jc w:val="both"/>
        <w:rPr>
          <w:rFonts w:ascii="Times New Roman CE" w:hAnsi="Times New Roman CE"/>
        </w:rPr>
      </w:pPr>
      <w:r>
        <w:rPr>
          <w:rFonts w:ascii="Times New Roman CE" w:hAnsi="Times New Roman CE" w:cs="Arial"/>
        </w:rPr>
        <w:tab/>
      </w:r>
      <w:r>
        <w:rPr>
          <w:rFonts w:ascii="Times New Roman CE" w:hAnsi="Times New Roman CE" w:cs="Arial"/>
        </w:rPr>
        <w:tab/>
      </w:r>
      <w:r>
        <w:rPr>
          <w:rFonts w:ascii="Times New Roman CE" w:hAnsi="Times New Roman CE" w:cs="Arial"/>
        </w:rPr>
        <w:tab/>
      </w:r>
      <w:r>
        <w:rPr>
          <w:rFonts w:ascii="Times New Roman CE" w:hAnsi="Times New Roman CE" w:cs="Arial"/>
        </w:rPr>
        <w:tab/>
      </w:r>
      <w:r>
        <w:rPr>
          <w:rFonts w:ascii="Times New Roman CE" w:hAnsi="Times New Roman CE" w:cs="Arial"/>
        </w:rPr>
        <w:tab/>
      </w:r>
      <w:r>
        <w:rPr>
          <w:rFonts w:ascii="Times New Roman CE" w:hAnsi="Times New Roman CE" w:cs="Arial"/>
        </w:rPr>
        <w:tab/>
      </w:r>
      <w:r>
        <w:rPr>
          <w:rFonts w:ascii="Times New Roman CE" w:hAnsi="Times New Roman CE" w:cs="Arial"/>
        </w:rPr>
        <w:tab/>
        <w:t xml:space="preserve">    Ing. Vít Slováček, starosta</w:t>
      </w:r>
    </w:p>
    <w:p w:rsidR="00277229" w:rsidRPr="00D603B2" w:rsidRDefault="00277229" w:rsidP="00D603B2">
      <w:pPr>
        <w:spacing w:line="276" w:lineRule="auto"/>
        <w:jc w:val="both"/>
        <w:rPr>
          <w:rFonts w:ascii="Times New Roman CE" w:hAnsi="Times New Roman CE"/>
        </w:rPr>
      </w:pPr>
    </w:p>
    <w:sectPr w:rsidR="00277229" w:rsidRPr="00D603B2" w:rsidSect="00AB3DFD">
      <w:headerReference w:type="even" r:id="rId11"/>
      <w:headerReference w:type="default" r:id="rId12"/>
      <w:footerReference w:type="even" r:id="rId13"/>
      <w:footerReference w:type="default" r:id="rId14"/>
      <w:headerReference w:type="first" r:id="rId15"/>
      <w:pgSz w:w="11905" w:h="16837"/>
      <w:pgMar w:top="1276"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65F" w:rsidRDefault="00F0565F">
      <w:r>
        <w:separator/>
      </w:r>
    </w:p>
  </w:endnote>
  <w:endnote w:type="continuationSeparator" w:id="0">
    <w:p w:rsidR="00F0565F" w:rsidRDefault="00F0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C3" w:rsidRDefault="00E74B0B" w:rsidP="00602A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60EC3" w:rsidRDefault="00FD7C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556848"/>
      <w:docPartObj>
        <w:docPartGallery w:val="Page Numbers (Bottom of Page)"/>
        <w:docPartUnique/>
      </w:docPartObj>
    </w:sdtPr>
    <w:sdtEndPr/>
    <w:sdtContent>
      <w:p w:rsidR="00A17916" w:rsidRDefault="00A17916">
        <w:pPr>
          <w:pStyle w:val="Zpat"/>
          <w:jc w:val="center"/>
        </w:pPr>
        <w:r>
          <w:fldChar w:fldCharType="begin"/>
        </w:r>
        <w:r>
          <w:instrText>PAGE   \* MERGEFORMAT</w:instrText>
        </w:r>
        <w:r>
          <w:fldChar w:fldCharType="separate"/>
        </w:r>
        <w:r w:rsidR="00FD7C25">
          <w:rPr>
            <w:noProof/>
          </w:rPr>
          <w:t>1</w:t>
        </w:r>
        <w:r>
          <w:fldChar w:fldCharType="end"/>
        </w:r>
      </w:p>
    </w:sdtContent>
  </w:sdt>
  <w:p w:rsidR="00A17916" w:rsidRDefault="00A179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65F" w:rsidRDefault="00F0565F">
      <w:r>
        <w:separator/>
      </w:r>
    </w:p>
  </w:footnote>
  <w:footnote w:type="continuationSeparator" w:id="0">
    <w:p w:rsidR="00F0565F" w:rsidRDefault="00F05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C3" w:rsidRDefault="00E74B0B" w:rsidP="00602A3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60EC3" w:rsidRDefault="00FD7C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C3" w:rsidRPr="00F657BB" w:rsidRDefault="00FD7C25" w:rsidP="00602A38">
    <w:pPr>
      <w:pStyle w:val="Zhlav"/>
      <w:framePr w:wrap="around" w:vAnchor="text" w:hAnchor="margin" w:xAlign="center" w:y="1"/>
      <w:rPr>
        <w:rStyle w:val="slostrnky"/>
        <w:rFonts w:ascii="Arial" w:hAnsi="Arial" w:cs="Arial"/>
        <w:sz w:val="22"/>
        <w:szCs w:val="22"/>
      </w:rPr>
    </w:pPr>
  </w:p>
  <w:p w:rsidR="00560EC3" w:rsidRDefault="00FD7C25" w:rsidP="00A17916">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A6" w:rsidRDefault="001B07A6" w:rsidP="001B07A6">
    <w:pPr>
      <w:pStyle w:val="Zhlav"/>
      <w:jc w:val="center"/>
    </w:pPr>
  </w:p>
  <w:p w:rsidR="001B07A6" w:rsidRDefault="001B07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DEA"/>
    <w:multiLevelType w:val="hybridMultilevel"/>
    <w:tmpl w:val="C2781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6321BE"/>
    <w:multiLevelType w:val="hybridMultilevel"/>
    <w:tmpl w:val="C75CAE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92456"/>
    <w:multiLevelType w:val="hybridMultilevel"/>
    <w:tmpl w:val="C674F1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9966FC"/>
    <w:multiLevelType w:val="hybridMultilevel"/>
    <w:tmpl w:val="505A20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B12D8C"/>
    <w:multiLevelType w:val="hybridMultilevel"/>
    <w:tmpl w:val="2F5EAED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9006C1C8">
      <w:start w:val="1"/>
      <w:numFmt w:val="decimal"/>
      <w:lvlText w:val="%3)"/>
      <w:lvlJc w:val="left"/>
      <w:pPr>
        <w:ind w:left="2688" w:hanging="36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9B4059"/>
    <w:multiLevelType w:val="hybridMultilevel"/>
    <w:tmpl w:val="F18ADB5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EB2477"/>
    <w:multiLevelType w:val="hybridMultilevel"/>
    <w:tmpl w:val="4A9254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412F"/>
    <w:multiLevelType w:val="hybridMultilevel"/>
    <w:tmpl w:val="BFD016E0"/>
    <w:lvl w:ilvl="0" w:tplc="04050011">
      <w:start w:val="1"/>
      <w:numFmt w:val="decimal"/>
      <w:lvlText w:val="%1)"/>
      <w:lvlJc w:val="left"/>
      <w:pPr>
        <w:ind w:left="720" w:hanging="360"/>
      </w:pPr>
    </w:lvl>
    <w:lvl w:ilvl="1" w:tplc="F16C3D2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F30EBB"/>
    <w:multiLevelType w:val="hybridMultilevel"/>
    <w:tmpl w:val="A58EB7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FE5129"/>
    <w:multiLevelType w:val="hybridMultilevel"/>
    <w:tmpl w:val="98709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2F213C"/>
    <w:multiLevelType w:val="hybridMultilevel"/>
    <w:tmpl w:val="74DA7310"/>
    <w:lvl w:ilvl="0" w:tplc="A994478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BD6724"/>
    <w:multiLevelType w:val="hybridMultilevel"/>
    <w:tmpl w:val="B928B1B6"/>
    <w:lvl w:ilvl="0" w:tplc="04050001">
      <w:start w:val="1"/>
      <w:numFmt w:val="bullet"/>
      <w:lvlText w:val=""/>
      <w:lvlJc w:val="left"/>
      <w:pPr>
        <w:ind w:left="720" w:hanging="360"/>
      </w:pPr>
      <w:rPr>
        <w:rFonts w:ascii="Symbol" w:hAnsi="Symbol" w:hint="default"/>
      </w:rPr>
    </w:lvl>
    <w:lvl w:ilvl="1" w:tplc="0208270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F756F9"/>
    <w:multiLevelType w:val="hybridMultilevel"/>
    <w:tmpl w:val="9A228FC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29A30C7C"/>
    <w:multiLevelType w:val="hybridMultilevel"/>
    <w:tmpl w:val="436A94E4"/>
    <w:lvl w:ilvl="0" w:tplc="04050011">
      <w:start w:val="1"/>
      <w:numFmt w:val="decimal"/>
      <w:lvlText w:val="%1)"/>
      <w:lvlJc w:val="left"/>
      <w:pPr>
        <w:ind w:left="720" w:hanging="360"/>
      </w:pPr>
    </w:lvl>
    <w:lvl w:ilvl="1" w:tplc="04050019">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3766C4"/>
    <w:multiLevelType w:val="hybridMultilevel"/>
    <w:tmpl w:val="FBE2B396"/>
    <w:lvl w:ilvl="0" w:tplc="36327F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7B5FE8"/>
    <w:multiLevelType w:val="hybridMultilevel"/>
    <w:tmpl w:val="78BC3A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F462D6"/>
    <w:multiLevelType w:val="hybridMultilevel"/>
    <w:tmpl w:val="F1EC87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C350E5"/>
    <w:multiLevelType w:val="hybridMultilevel"/>
    <w:tmpl w:val="5FD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271ED7"/>
    <w:multiLevelType w:val="hybridMultilevel"/>
    <w:tmpl w:val="BB7293D6"/>
    <w:lvl w:ilvl="0" w:tplc="04050019">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3A4E7C46"/>
    <w:multiLevelType w:val="hybridMultilevel"/>
    <w:tmpl w:val="BFD016E0"/>
    <w:lvl w:ilvl="0" w:tplc="04050011">
      <w:start w:val="1"/>
      <w:numFmt w:val="decimal"/>
      <w:lvlText w:val="%1)"/>
      <w:lvlJc w:val="left"/>
      <w:pPr>
        <w:ind w:left="720" w:hanging="360"/>
      </w:pPr>
    </w:lvl>
    <w:lvl w:ilvl="1" w:tplc="F16C3D2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3B28CF"/>
    <w:multiLevelType w:val="hybridMultilevel"/>
    <w:tmpl w:val="764256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13CB4"/>
    <w:multiLevelType w:val="hybridMultilevel"/>
    <w:tmpl w:val="AA367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F821224"/>
    <w:multiLevelType w:val="hybridMultilevel"/>
    <w:tmpl w:val="2E0CC79C"/>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3FFB30D8"/>
    <w:multiLevelType w:val="hybridMultilevel"/>
    <w:tmpl w:val="BF78E69A"/>
    <w:lvl w:ilvl="0" w:tplc="5E44F44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5161CF"/>
    <w:multiLevelType w:val="hybridMultilevel"/>
    <w:tmpl w:val="20A48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3A13901"/>
    <w:multiLevelType w:val="hybridMultilevel"/>
    <w:tmpl w:val="ACFA6AB8"/>
    <w:lvl w:ilvl="0" w:tplc="A994478E">
      <w:start w:val="1"/>
      <w:numFmt w:val="decimal"/>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67E182C"/>
    <w:multiLevelType w:val="hybridMultilevel"/>
    <w:tmpl w:val="17D0DE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8BD3C82"/>
    <w:multiLevelType w:val="hybridMultilevel"/>
    <w:tmpl w:val="2FBCC170"/>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49341949"/>
    <w:multiLevelType w:val="hybridMultilevel"/>
    <w:tmpl w:val="63E01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93A0836"/>
    <w:multiLevelType w:val="hybridMultilevel"/>
    <w:tmpl w:val="6A827A86"/>
    <w:lvl w:ilvl="0" w:tplc="EFECD01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C8E2EF4"/>
    <w:multiLevelType w:val="hybridMultilevel"/>
    <w:tmpl w:val="27BCDB9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EE451C1"/>
    <w:multiLevelType w:val="hybridMultilevel"/>
    <w:tmpl w:val="21E0E2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3482860"/>
    <w:multiLevelType w:val="hybridMultilevel"/>
    <w:tmpl w:val="DD8494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667707A"/>
    <w:multiLevelType w:val="hybridMultilevel"/>
    <w:tmpl w:val="A10CD472"/>
    <w:lvl w:ilvl="0" w:tplc="0A20C378">
      <w:start w:val="1"/>
      <w:numFmt w:val="lowerLetter"/>
      <w:lvlText w:val="%1)"/>
      <w:lvlJc w:val="left"/>
      <w:pPr>
        <w:ind w:left="1065" w:hanging="705"/>
      </w:pPr>
      <w:rPr>
        <w:rFonts w:hint="default"/>
      </w:rPr>
    </w:lvl>
    <w:lvl w:ilvl="1" w:tplc="A7F84E0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D13FF2"/>
    <w:multiLevelType w:val="hybridMultilevel"/>
    <w:tmpl w:val="E02A2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28673F8"/>
    <w:multiLevelType w:val="hybridMultilevel"/>
    <w:tmpl w:val="E6BEB83C"/>
    <w:lvl w:ilvl="0" w:tplc="04050019">
      <w:start w:val="1"/>
      <w:numFmt w:val="lowerLetter"/>
      <w:lvlText w:val="%1."/>
      <w:lvlJc w:val="left"/>
      <w:pPr>
        <w:ind w:left="1092" w:hanging="360"/>
      </w:pPr>
      <w:rPr>
        <w:rFonts w:hint="default"/>
      </w:rPr>
    </w:lvl>
    <w:lvl w:ilvl="1" w:tplc="04050003">
      <w:start w:val="1"/>
      <w:numFmt w:val="bullet"/>
      <w:lvlText w:val="o"/>
      <w:lvlJc w:val="left"/>
      <w:pPr>
        <w:ind w:left="1812" w:hanging="360"/>
      </w:pPr>
      <w:rPr>
        <w:rFonts w:ascii="Courier New" w:hAnsi="Courier New" w:cs="Courier New" w:hint="default"/>
      </w:rPr>
    </w:lvl>
    <w:lvl w:ilvl="2" w:tplc="71F8A384">
      <w:start w:val="1"/>
      <w:numFmt w:val="decimal"/>
      <w:lvlText w:val="%3)"/>
      <w:lvlJc w:val="left"/>
      <w:pPr>
        <w:ind w:left="2532" w:hanging="360"/>
      </w:pPr>
      <w:rPr>
        <w:rFont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6">
    <w:nsid w:val="633657A6"/>
    <w:multiLevelType w:val="hybridMultilevel"/>
    <w:tmpl w:val="7696D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0A65C40"/>
    <w:multiLevelType w:val="hybridMultilevel"/>
    <w:tmpl w:val="4BD820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B95B18"/>
    <w:multiLevelType w:val="hybridMultilevel"/>
    <w:tmpl w:val="FB847948"/>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4B507E2"/>
    <w:multiLevelType w:val="hybridMultilevel"/>
    <w:tmpl w:val="0FC42EF4"/>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nsid w:val="75580A6C"/>
    <w:multiLevelType w:val="hybridMultilevel"/>
    <w:tmpl w:val="F51AA8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6F60839"/>
    <w:multiLevelType w:val="hybridMultilevel"/>
    <w:tmpl w:val="5E58E5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nsid w:val="7CB5058B"/>
    <w:multiLevelType w:val="hybridMultilevel"/>
    <w:tmpl w:val="604847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DF232E"/>
    <w:multiLevelType w:val="hybridMultilevel"/>
    <w:tmpl w:val="B682468A"/>
    <w:lvl w:ilvl="0" w:tplc="8EE2F01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380405"/>
    <w:multiLevelType w:val="hybridMultilevel"/>
    <w:tmpl w:val="07083E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EBB251D"/>
    <w:multiLevelType w:val="hybridMultilevel"/>
    <w:tmpl w:val="0CC42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1"/>
  </w:num>
  <w:num w:numId="2">
    <w:abstractNumId w:val="34"/>
  </w:num>
  <w:num w:numId="3">
    <w:abstractNumId w:val="24"/>
  </w:num>
  <w:num w:numId="4">
    <w:abstractNumId w:val="17"/>
  </w:num>
  <w:num w:numId="5">
    <w:abstractNumId w:val="9"/>
  </w:num>
  <w:num w:numId="6">
    <w:abstractNumId w:val="11"/>
  </w:num>
  <w:num w:numId="7">
    <w:abstractNumId w:val="31"/>
  </w:num>
  <w:num w:numId="8">
    <w:abstractNumId w:val="5"/>
  </w:num>
  <w:num w:numId="9">
    <w:abstractNumId w:val="41"/>
  </w:num>
  <w:num w:numId="10">
    <w:abstractNumId w:val="0"/>
  </w:num>
  <w:num w:numId="11">
    <w:abstractNumId w:val="14"/>
  </w:num>
  <w:num w:numId="12">
    <w:abstractNumId w:val="28"/>
  </w:num>
  <w:num w:numId="13">
    <w:abstractNumId w:val="36"/>
  </w:num>
  <w:num w:numId="14">
    <w:abstractNumId w:val="23"/>
  </w:num>
  <w:num w:numId="15">
    <w:abstractNumId w:val="4"/>
  </w:num>
  <w:num w:numId="16">
    <w:abstractNumId w:val="33"/>
  </w:num>
  <w:num w:numId="17">
    <w:abstractNumId w:val="7"/>
  </w:num>
  <w:num w:numId="18">
    <w:abstractNumId w:val="25"/>
  </w:num>
  <w:num w:numId="19">
    <w:abstractNumId w:val="10"/>
  </w:num>
  <w:num w:numId="20">
    <w:abstractNumId w:val="26"/>
  </w:num>
  <w:num w:numId="21">
    <w:abstractNumId w:val="43"/>
  </w:num>
  <w:num w:numId="22">
    <w:abstractNumId w:val="18"/>
  </w:num>
  <w:num w:numId="23">
    <w:abstractNumId w:val="39"/>
  </w:num>
  <w:num w:numId="24">
    <w:abstractNumId w:val="13"/>
  </w:num>
  <w:num w:numId="25">
    <w:abstractNumId w:val="35"/>
  </w:num>
  <w:num w:numId="26">
    <w:abstractNumId w:val="38"/>
  </w:num>
  <w:num w:numId="27">
    <w:abstractNumId w:val="44"/>
  </w:num>
  <w:num w:numId="28">
    <w:abstractNumId w:val="42"/>
  </w:num>
  <w:num w:numId="29">
    <w:abstractNumId w:val="30"/>
  </w:num>
  <w:num w:numId="30">
    <w:abstractNumId w:val="8"/>
  </w:num>
  <w:num w:numId="31">
    <w:abstractNumId w:val="22"/>
  </w:num>
  <w:num w:numId="32">
    <w:abstractNumId w:val="6"/>
  </w:num>
  <w:num w:numId="33">
    <w:abstractNumId w:val="37"/>
  </w:num>
  <w:num w:numId="34">
    <w:abstractNumId w:val="27"/>
  </w:num>
  <w:num w:numId="35">
    <w:abstractNumId w:val="45"/>
  </w:num>
  <w:num w:numId="36">
    <w:abstractNumId w:val="12"/>
  </w:num>
  <w:num w:numId="37">
    <w:abstractNumId w:val="19"/>
  </w:num>
  <w:num w:numId="38">
    <w:abstractNumId w:val="1"/>
  </w:num>
  <w:num w:numId="39">
    <w:abstractNumId w:val="40"/>
  </w:num>
  <w:num w:numId="40">
    <w:abstractNumId w:val="32"/>
  </w:num>
  <w:num w:numId="41">
    <w:abstractNumId w:val="3"/>
  </w:num>
  <w:num w:numId="42">
    <w:abstractNumId w:val="15"/>
  </w:num>
  <w:num w:numId="43">
    <w:abstractNumId w:val="16"/>
  </w:num>
  <w:num w:numId="44">
    <w:abstractNumId w:val="29"/>
  </w:num>
  <w:num w:numId="45">
    <w:abstractNumId w:val="2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0B"/>
    <w:rsid w:val="00026AF4"/>
    <w:rsid w:val="000378BB"/>
    <w:rsid w:val="00047766"/>
    <w:rsid w:val="00054CAB"/>
    <w:rsid w:val="00083879"/>
    <w:rsid w:val="000C7AB3"/>
    <w:rsid w:val="001034E3"/>
    <w:rsid w:val="00147B50"/>
    <w:rsid w:val="00166454"/>
    <w:rsid w:val="00176D86"/>
    <w:rsid w:val="001A1CC8"/>
    <w:rsid w:val="001A387A"/>
    <w:rsid w:val="001B07A6"/>
    <w:rsid w:val="001E420F"/>
    <w:rsid w:val="00212695"/>
    <w:rsid w:val="002138E0"/>
    <w:rsid w:val="002511D8"/>
    <w:rsid w:val="00277229"/>
    <w:rsid w:val="003034C8"/>
    <w:rsid w:val="00323DD2"/>
    <w:rsid w:val="00330723"/>
    <w:rsid w:val="00332ADB"/>
    <w:rsid w:val="003716BA"/>
    <w:rsid w:val="00371915"/>
    <w:rsid w:val="00397E7E"/>
    <w:rsid w:val="003A15A1"/>
    <w:rsid w:val="003C57FD"/>
    <w:rsid w:val="003F108F"/>
    <w:rsid w:val="00416A25"/>
    <w:rsid w:val="004200C9"/>
    <w:rsid w:val="0043695B"/>
    <w:rsid w:val="00452E70"/>
    <w:rsid w:val="00474EB4"/>
    <w:rsid w:val="004845B1"/>
    <w:rsid w:val="005116F0"/>
    <w:rsid w:val="005567D0"/>
    <w:rsid w:val="00577749"/>
    <w:rsid w:val="005D3AAC"/>
    <w:rsid w:val="005D4929"/>
    <w:rsid w:val="005E159B"/>
    <w:rsid w:val="0066321E"/>
    <w:rsid w:val="00692EB9"/>
    <w:rsid w:val="00727CA8"/>
    <w:rsid w:val="00753396"/>
    <w:rsid w:val="0075482A"/>
    <w:rsid w:val="007C0035"/>
    <w:rsid w:val="007F2D97"/>
    <w:rsid w:val="00812336"/>
    <w:rsid w:val="00826F9C"/>
    <w:rsid w:val="008273B2"/>
    <w:rsid w:val="00846545"/>
    <w:rsid w:val="008542C2"/>
    <w:rsid w:val="00857486"/>
    <w:rsid w:val="008E5535"/>
    <w:rsid w:val="00900DDF"/>
    <w:rsid w:val="00913A2E"/>
    <w:rsid w:val="00932B6D"/>
    <w:rsid w:val="00986751"/>
    <w:rsid w:val="00995F8D"/>
    <w:rsid w:val="009F5B7D"/>
    <w:rsid w:val="00A10591"/>
    <w:rsid w:val="00A17916"/>
    <w:rsid w:val="00A328AB"/>
    <w:rsid w:val="00A346C1"/>
    <w:rsid w:val="00A84487"/>
    <w:rsid w:val="00A91FAF"/>
    <w:rsid w:val="00AB3DFD"/>
    <w:rsid w:val="00B14FF0"/>
    <w:rsid w:val="00B73F94"/>
    <w:rsid w:val="00BA3509"/>
    <w:rsid w:val="00C4500C"/>
    <w:rsid w:val="00C914AF"/>
    <w:rsid w:val="00CA59DC"/>
    <w:rsid w:val="00CA5F91"/>
    <w:rsid w:val="00CB3545"/>
    <w:rsid w:val="00CD03DF"/>
    <w:rsid w:val="00CD3931"/>
    <w:rsid w:val="00CD6959"/>
    <w:rsid w:val="00CF73E4"/>
    <w:rsid w:val="00D019F3"/>
    <w:rsid w:val="00D02407"/>
    <w:rsid w:val="00D0619C"/>
    <w:rsid w:val="00D45F7B"/>
    <w:rsid w:val="00D603B2"/>
    <w:rsid w:val="00D60CA4"/>
    <w:rsid w:val="00D62D9F"/>
    <w:rsid w:val="00DD3083"/>
    <w:rsid w:val="00DF1DE2"/>
    <w:rsid w:val="00DF5C7B"/>
    <w:rsid w:val="00DF684A"/>
    <w:rsid w:val="00DF6D81"/>
    <w:rsid w:val="00E74B0B"/>
    <w:rsid w:val="00EA5D5D"/>
    <w:rsid w:val="00F0565F"/>
    <w:rsid w:val="00F236F5"/>
    <w:rsid w:val="00F5207E"/>
    <w:rsid w:val="00FC58CF"/>
    <w:rsid w:val="00FD7C25"/>
    <w:rsid w:val="00FE0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4B0B"/>
    <w:pPr>
      <w:suppressAutoHyphens/>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E74B0B"/>
  </w:style>
  <w:style w:type="paragraph" w:styleId="Zhlav">
    <w:name w:val="header"/>
    <w:basedOn w:val="Normln"/>
    <w:link w:val="ZhlavChar"/>
    <w:uiPriority w:val="99"/>
    <w:rsid w:val="00E74B0B"/>
    <w:pPr>
      <w:tabs>
        <w:tab w:val="center" w:pos="4536"/>
        <w:tab w:val="right" w:pos="9072"/>
      </w:tabs>
    </w:pPr>
  </w:style>
  <w:style w:type="character" w:customStyle="1" w:styleId="ZhlavChar">
    <w:name w:val="Záhlaví Char"/>
    <w:basedOn w:val="Standardnpsmoodstavce"/>
    <w:link w:val="Zhlav"/>
    <w:uiPriority w:val="99"/>
    <w:rsid w:val="00E74B0B"/>
    <w:rPr>
      <w:rFonts w:ascii="Times New Roman" w:eastAsia="Times New Roman" w:hAnsi="Times New Roman" w:cs="Times New Roman"/>
      <w:sz w:val="24"/>
      <w:szCs w:val="24"/>
    </w:rPr>
  </w:style>
  <w:style w:type="paragraph" w:styleId="Zpat">
    <w:name w:val="footer"/>
    <w:basedOn w:val="Normln"/>
    <w:link w:val="ZpatChar"/>
    <w:uiPriority w:val="99"/>
    <w:rsid w:val="00E74B0B"/>
    <w:pPr>
      <w:tabs>
        <w:tab w:val="center" w:pos="4536"/>
        <w:tab w:val="right" w:pos="9072"/>
      </w:tabs>
    </w:pPr>
  </w:style>
  <w:style w:type="character" w:customStyle="1" w:styleId="ZpatChar">
    <w:name w:val="Zápatí Char"/>
    <w:basedOn w:val="Standardnpsmoodstavce"/>
    <w:link w:val="Zpat"/>
    <w:uiPriority w:val="99"/>
    <w:rsid w:val="00E74B0B"/>
    <w:rPr>
      <w:rFonts w:ascii="Times New Roman" w:eastAsia="Times New Roman" w:hAnsi="Times New Roman" w:cs="Times New Roman"/>
      <w:sz w:val="24"/>
      <w:szCs w:val="24"/>
    </w:rPr>
  </w:style>
  <w:style w:type="character" w:customStyle="1" w:styleId="datalabel">
    <w:name w:val="datalabel"/>
    <w:basedOn w:val="Standardnpsmoodstavce"/>
    <w:rsid w:val="008273B2"/>
  </w:style>
  <w:style w:type="paragraph" w:styleId="Odstavecseseznamem">
    <w:name w:val="List Paragraph"/>
    <w:basedOn w:val="Normln"/>
    <w:uiPriority w:val="34"/>
    <w:qFormat/>
    <w:rsid w:val="002511D8"/>
    <w:pPr>
      <w:ind w:left="720"/>
      <w:contextualSpacing/>
    </w:pPr>
  </w:style>
  <w:style w:type="paragraph" w:styleId="Textbubliny">
    <w:name w:val="Balloon Text"/>
    <w:basedOn w:val="Normln"/>
    <w:link w:val="TextbublinyChar"/>
    <w:uiPriority w:val="99"/>
    <w:semiHidden/>
    <w:unhideWhenUsed/>
    <w:rsid w:val="001B07A6"/>
    <w:rPr>
      <w:rFonts w:ascii="Tahoma" w:hAnsi="Tahoma" w:cs="Tahoma"/>
      <w:sz w:val="16"/>
      <w:szCs w:val="16"/>
    </w:rPr>
  </w:style>
  <w:style w:type="character" w:customStyle="1" w:styleId="TextbublinyChar">
    <w:name w:val="Text bubliny Char"/>
    <w:basedOn w:val="Standardnpsmoodstavce"/>
    <w:link w:val="Textbubliny"/>
    <w:uiPriority w:val="99"/>
    <w:semiHidden/>
    <w:rsid w:val="001B07A6"/>
    <w:rPr>
      <w:rFonts w:ascii="Tahoma" w:eastAsia="Times New Roman" w:hAnsi="Tahoma" w:cs="Tahoma"/>
      <w:sz w:val="16"/>
      <w:szCs w:val="16"/>
    </w:rPr>
  </w:style>
  <w:style w:type="paragraph" w:styleId="Bezmezer">
    <w:name w:val="No Spacing"/>
    <w:link w:val="BezmezerChar"/>
    <w:uiPriority w:val="1"/>
    <w:qFormat/>
    <w:rsid w:val="007C003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C0035"/>
    <w:rPr>
      <w:rFonts w:eastAsiaTheme="minorEastAsia"/>
      <w:lang w:eastAsia="cs-CZ"/>
    </w:rPr>
  </w:style>
  <w:style w:type="character" w:styleId="Hypertextovodkaz">
    <w:name w:val="Hyperlink"/>
    <w:basedOn w:val="Standardnpsmoodstavce"/>
    <w:uiPriority w:val="99"/>
    <w:unhideWhenUsed/>
    <w:rsid w:val="006632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4B0B"/>
    <w:pPr>
      <w:suppressAutoHyphens/>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E74B0B"/>
  </w:style>
  <w:style w:type="paragraph" w:styleId="Zhlav">
    <w:name w:val="header"/>
    <w:basedOn w:val="Normln"/>
    <w:link w:val="ZhlavChar"/>
    <w:uiPriority w:val="99"/>
    <w:rsid w:val="00E74B0B"/>
    <w:pPr>
      <w:tabs>
        <w:tab w:val="center" w:pos="4536"/>
        <w:tab w:val="right" w:pos="9072"/>
      </w:tabs>
    </w:pPr>
  </w:style>
  <w:style w:type="character" w:customStyle="1" w:styleId="ZhlavChar">
    <w:name w:val="Záhlaví Char"/>
    <w:basedOn w:val="Standardnpsmoodstavce"/>
    <w:link w:val="Zhlav"/>
    <w:uiPriority w:val="99"/>
    <w:rsid w:val="00E74B0B"/>
    <w:rPr>
      <w:rFonts w:ascii="Times New Roman" w:eastAsia="Times New Roman" w:hAnsi="Times New Roman" w:cs="Times New Roman"/>
      <w:sz w:val="24"/>
      <w:szCs w:val="24"/>
    </w:rPr>
  </w:style>
  <w:style w:type="paragraph" w:styleId="Zpat">
    <w:name w:val="footer"/>
    <w:basedOn w:val="Normln"/>
    <w:link w:val="ZpatChar"/>
    <w:uiPriority w:val="99"/>
    <w:rsid w:val="00E74B0B"/>
    <w:pPr>
      <w:tabs>
        <w:tab w:val="center" w:pos="4536"/>
        <w:tab w:val="right" w:pos="9072"/>
      </w:tabs>
    </w:pPr>
  </w:style>
  <w:style w:type="character" w:customStyle="1" w:styleId="ZpatChar">
    <w:name w:val="Zápatí Char"/>
    <w:basedOn w:val="Standardnpsmoodstavce"/>
    <w:link w:val="Zpat"/>
    <w:uiPriority w:val="99"/>
    <w:rsid w:val="00E74B0B"/>
    <w:rPr>
      <w:rFonts w:ascii="Times New Roman" w:eastAsia="Times New Roman" w:hAnsi="Times New Roman" w:cs="Times New Roman"/>
      <w:sz w:val="24"/>
      <w:szCs w:val="24"/>
    </w:rPr>
  </w:style>
  <w:style w:type="character" w:customStyle="1" w:styleId="datalabel">
    <w:name w:val="datalabel"/>
    <w:basedOn w:val="Standardnpsmoodstavce"/>
    <w:rsid w:val="008273B2"/>
  </w:style>
  <w:style w:type="paragraph" w:styleId="Odstavecseseznamem">
    <w:name w:val="List Paragraph"/>
    <w:basedOn w:val="Normln"/>
    <w:uiPriority w:val="34"/>
    <w:qFormat/>
    <w:rsid w:val="002511D8"/>
    <w:pPr>
      <w:ind w:left="720"/>
      <w:contextualSpacing/>
    </w:pPr>
  </w:style>
  <w:style w:type="paragraph" w:styleId="Textbubliny">
    <w:name w:val="Balloon Text"/>
    <w:basedOn w:val="Normln"/>
    <w:link w:val="TextbublinyChar"/>
    <w:uiPriority w:val="99"/>
    <w:semiHidden/>
    <w:unhideWhenUsed/>
    <w:rsid w:val="001B07A6"/>
    <w:rPr>
      <w:rFonts w:ascii="Tahoma" w:hAnsi="Tahoma" w:cs="Tahoma"/>
      <w:sz w:val="16"/>
      <w:szCs w:val="16"/>
    </w:rPr>
  </w:style>
  <w:style w:type="character" w:customStyle="1" w:styleId="TextbublinyChar">
    <w:name w:val="Text bubliny Char"/>
    <w:basedOn w:val="Standardnpsmoodstavce"/>
    <w:link w:val="Textbubliny"/>
    <w:uiPriority w:val="99"/>
    <w:semiHidden/>
    <w:rsid w:val="001B07A6"/>
    <w:rPr>
      <w:rFonts w:ascii="Tahoma" w:eastAsia="Times New Roman" w:hAnsi="Tahoma" w:cs="Tahoma"/>
      <w:sz w:val="16"/>
      <w:szCs w:val="16"/>
    </w:rPr>
  </w:style>
  <w:style w:type="paragraph" w:styleId="Bezmezer">
    <w:name w:val="No Spacing"/>
    <w:link w:val="BezmezerChar"/>
    <w:uiPriority w:val="1"/>
    <w:qFormat/>
    <w:rsid w:val="007C003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C0035"/>
    <w:rPr>
      <w:rFonts w:eastAsiaTheme="minorEastAsia"/>
      <w:lang w:eastAsia="cs-CZ"/>
    </w:rPr>
  </w:style>
  <w:style w:type="character" w:styleId="Hypertextovodkaz">
    <w:name w:val="Hyperlink"/>
    <w:basedOn w:val="Standardnpsmoodstavce"/>
    <w:uiPriority w:val="99"/>
    <w:unhideWhenUsed/>
    <w:rsid w:val="006632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ABF9-E246-4DCE-AE64-84E50E6E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4195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JEDNACÍ ŘÁD  řídícího výboru</vt:lpstr>
    </vt:vector>
  </TitlesOfParts>
  <Company>mesto Karvina</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JEDNACÍ ŘÁD  řídícího výboru</dc:title>
  <dc:subject>Místní akční plán rozvoje vzdělávání v ORP              Karviná                                                                        reg. č. CZ.02.3.68/0.0/0.0/15_005/0000040</dc:subject>
  <dc:creator>Michal Bajgart</dc:creator>
  <cp:lastModifiedBy>Latková Helena</cp:lastModifiedBy>
  <cp:revision>2</cp:revision>
  <cp:lastPrinted>2016-03-21T12:45:00Z</cp:lastPrinted>
  <dcterms:created xsi:type="dcterms:W3CDTF">2016-03-30T09:20:00Z</dcterms:created>
  <dcterms:modified xsi:type="dcterms:W3CDTF">2016-03-30T09:20:00Z</dcterms:modified>
</cp:coreProperties>
</file>